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17D34" w14:textId="77777777" w:rsidR="00977997" w:rsidRPr="00864147" w:rsidRDefault="005766DD" w:rsidP="00EF3EE0">
      <w:pPr>
        <w:tabs>
          <w:tab w:val="left" w:pos="3649"/>
        </w:tabs>
        <w:jc w:val="both"/>
        <w:rPr>
          <w:rFonts w:cs="Times New Roman"/>
          <w:sz w:val="28"/>
          <w:szCs w:val="28"/>
        </w:rPr>
      </w:pPr>
      <w:r w:rsidRPr="00864147">
        <w:rPr>
          <w:noProof/>
          <w:sz w:val="20"/>
          <w:szCs w:val="20"/>
        </w:rPr>
        <w:drawing>
          <wp:anchor distT="0" distB="0" distL="114300" distR="114300" simplePos="0" relativeHeight="251658240" behindDoc="0" locked="0" layoutInCell="1" allowOverlap="1" wp14:anchorId="081438C2" wp14:editId="1954EF4A">
            <wp:simplePos x="0" y="0"/>
            <wp:positionH relativeFrom="margin">
              <wp:align>left</wp:align>
            </wp:positionH>
            <wp:positionV relativeFrom="paragraph">
              <wp:posOffset>206</wp:posOffset>
            </wp:positionV>
            <wp:extent cx="807720" cy="807720"/>
            <wp:effectExtent l="0" t="0" r="0" b="0"/>
            <wp:wrapSquare wrapText="bothSides"/>
            <wp:docPr id="352133669"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7720" cy="807720"/>
                    </a:xfrm>
                    <a:prstGeom prst="rect">
                      <a:avLst/>
                    </a:prstGeom>
                    <a:noFill/>
                  </pic:spPr>
                </pic:pic>
              </a:graphicData>
            </a:graphic>
            <wp14:sizeRelH relativeFrom="margin">
              <wp14:pctWidth>0</wp14:pctWidth>
            </wp14:sizeRelH>
            <wp14:sizeRelV relativeFrom="margin">
              <wp14:pctHeight>0</wp14:pctHeight>
            </wp14:sizeRelV>
          </wp:anchor>
        </w:drawing>
      </w:r>
      <w:r w:rsidRPr="00864147">
        <w:rPr>
          <w:rFonts w:cs="Times New Roman"/>
          <w:sz w:val="28"/>
          <w:szCs w:val="28"/>
        </w:rPr>
        <w:t>ΕΘΝΙΚΟ ΜΕΤΣΟΒΙΟ ΠΟΛΥΤΕΧΝΕΙΟ</w:t>
      </w:r>
    </w:p>
    <w:p w14:paraId="68ECF0F4" w14:textId="6F09D82B" w:rsidR="002E6397" w:rsidRPr="00864147" w:rsidRDefault="00864147" w:rsidP="00EF3EE0">
      <w:pPr>
        <w:tabs>
          <w:tab w:val="left" w:pos="3649"/>
        </w:tabs>
        <w:jc w:val="both"/>
        <w:rPr>
          <w:rFonts w:cs="Times New Roman"/>
        </w:rPr>
      </w:pPr>
      <w:r w:rsidRPr="00864147">
        <w:rPr>
          <w:rFonts w:cs="Times New Roman"/>
        </w:rPr>
        <w:t>Σχολή</w:t>
      </w:r>
      <w:r w:rsidR="00715DED" w:rsidRPr="00864147">
        <w:rPr>
          <w:rFonts w:cs="Times New Roman"/>
        </w:rPr>
        <w:t xml:space="preserve"> </w:t>
      </w:r>
      <w:r w:rsidRPr="00864147">
        <w:rPr>
          <w:rFonts w:cs="Times New Roman"/>
        </w:rPr>
        <w:t>Ηλεκτρολόγων</w:t>
      </w:r>
      <w:r w:rsidR="00715DED" w:rsidRPr="00864147">
        <w:rPr>
          <w:rFonts w:cs="Times New Roman"/>
        </w:rPr>
        <w:t xml:space="preserve"> </w:t>
      </w:r>
      <w:r w:rsidRPr="00864147">
        <w:rPr>
          <w:rFonts w:cs="Times New Roman"/>
        </w:rPr>
        <w:t>Μηχανικών</w:t>
      </w:r>
      <w:r w:rsidR="00715DED" w:rsidRPr="00864147">
        <w:rPr>
          <w:rFonts w:cs="Times New Roman"/>
        </w:rPr>
        <w:t xml:space="preserve"> </w:t>
      </w:r>
      <w:r w:rsidRPr="00864147">
        <w:rPr>
          <w:rFonts w:cs="Times New Roman"/>
        </w:rPr>
        <w:t>κ</w:t>
      </w:r>
      <w:r w:rsidR="00715DED" w:rsidRPr="00864147">
        <w:rPr>
          <w:rFonts w:cs="Times New Roman"/>
        </w:rPr>
        <w:t xml:space="preserve">αι </w:t>
      </w:r>
      <w:r w:rsidRPr="00864147">
        <w:rPr>
          <w:rFonts w:cs="Times New Roman"/>
        </w:rPr>
        <w:t>Μηχανικών</w:t>
      </w:r>
      <w:r w:rsidR="00715DED" w:rsidRPr="00864147">
        <w:rPr>
          <w:rFonts w:cs="Times New Roman"/>
        </w:rPr>
        <w:t xml:space="preserve"> </w:t>
      </w:r>
      <w:r w:rsidRPr="00864147">
        <w:rPr>
          <w:rFonts w:cs="Times New Roman"/>
        </w:rPr>
        <w:t>Υπολογιστών</w:t>
      </w:r>
    </w:p>
    <w:p w14:paraId="64E4C244" w14:textId="07CF2C67" w:rsidR="002E6397" w:rsidRPr="00864147" w:rsidRDefault="00864147" w:rsidP="00EF3EE0">
      <w:pPr>
        <w:tabs>
          <w:tab w:val="left" w:pos="3649"/>
        </w:tabs>
        <w:jc w:val="both"/>
        <w:rPr>
          <w:rFonts w:cs="Times New Roman"/>
        </w:rPr>
      </w:pPr>
      <w:r w:rsidRPr="00864147">
        <w:rPr>
          <w:rFonts w:cs="Times New Roman"/>
        </w:rPr>
        <w:t>Τομέας Ηλεκτρικής Ισχύος</w:t>
      </w:r>
    </w:p>
    <w:p w14:paraId="36FD8DAF" w14:textId="77777777" w:rsidR="000578A7" w:rsidRPr="00822C2D" w:rsidRDefault="000578A7" w:rsidP="00EF3EE0">
      <w:pPr>
        <w:tabs>
          <w:tab w:val="left" w:pos="3649"/>
        </w:tabs>
        <w:jc w:val="both"/>
        <w:rPr>
          <w:rFonts w:cs="Times New Roman"/>
          <w:b/>
          <w:bCs/>
        </w:rPr>
      </w:pPr>
    </w:p>
    <w:p w14:paraId="38314A64" w14:textId="77777777" w:rsidR="000578A7" w:rsidRPr="00822C2D" w:rsidRDefault="000578A7" w:rsidP="00EF3EE0">
      <w:pPr>
        <w:tabs>
          <w:tab w:val="left" w:pos="3649"/>
        </w:tabs>
        <w:jc w:val="both"/>
        <w:rPr>
          <w:rFonts w:cs="Times New Roman"/>
          <w:b/>
          <w:bCs/>
        </w:rPr>
      </w:pPr>
    </w:p>
    <w:p w14:paraId="3A81EE49" w14:textId="25AC420A" w:rsidR="00EB6C96" w:rsidRPr="00F10079" w:rsidRDefault="00BF4E7A" w:rsidP="00EB6C96">
      <w:pPr>
        <w:tabs>
          <w:tab w:val="left" w:pos="3649"/>
        </w:tabs>
        <w:jc w:val="center"/>
        <w:rPr>
          <w:rFonts w:cs="Times New Roman"/>
          <w:b/>
          <w:bCs/>
          <w:sz w:val="56"/>
          <w:szCs w:val="56"/>
          <w:u w:val="single"/>
        </w:rPr>
      </w:pPr>
      <w:r w:rsidRPr="00105B05">
        <w:rPr>
          <w:rFonts w:cs="Times New Roman"/>
          <w:b/>
          <w:bCs/>
          <w:sz w:val="40"/>
          <w:szCs w:val="40"/>
          <w:u w:val="single"/>
        </w:rPr>
        <w:t>Τεχνοοικονομική Αξιολόγηση και Ανάλυση Συστ</w:t>
      </w:r>
      <w:r w:rsidR="00B4015A">
        <w:rPr>
          <w:rFonts w:cs="Times New Roman"/>
          <w:b/>
          <w:bCs/>
          <w:sz w:val="40"/>
          <w:szCs w:val="40"/>
          <w:u w:val="single"/>
        </w:rPr>
        <w:t>ημάτων</w:t>
      </w:r>
      <w:r w:rsidRPr="00105B05">
        <w:rPr>
          <w:rFonts w:cs="Times New Roman"/>
          <w:b/>
          <w:bCs/>
          <w:sz w:val="40"/>
          <w:szCs w:val="40"/>
          <w:u w:val="single"/>
        </w:rPr>
        <w:t xml:space="preserve"> Πρόωσης Πλοίων με </w:t>
      </w:r>
      <w:r w:rsidR="00E62BD7" w:rsidRPr="00105B05">
        <w:rPr>
          <w:rFonts w:cs="Times New Roman"/>
          <w:b/>
          <w:bCs/>
          <w:sz w:val="40"/>
          <w:szCs w:val="40"/>
          <w:u w:val="single"/>
        </w:rPr>
        <w:t xml:space="preserve">Υποβοήθηση </w:t>
      </w:r>
      <w:r w:rsidR="00F72AA3" w:rsidRPr="00105B05">
        <w:rPr>
          <w:rFonts w:cs="Times New Roman"/>
          <w:b/>
          <w:bCs/>
          <w:sz w:val="40"/>
          <w:szCs w:val="40"/>
          <w:u w:val="single"/>
        </w:rPr>
        <w:t>από τον Άνεμο</w:t>
      </w:r>
    </w:p>
    <w:p w14:paraId="4E3D2D61" w14:textId="77777777" w:rsidR="00EB6C96" w:rsidRPr="00F10079" w:rsidRDefault="00EB6C96" w:rsidP="00EB6C96">
      <w:pPr>
        <w:tabs>
          <w:tab w:val="left" w:pos="3649"/>
        </w:tabs>
        <w:jc w:val="center"/>
        <w:rPr>
          <w:rFonts w:cs="Times New Roman"/>
          <w:b/>
          <w:bCs/>
          <w:sz w:val="56"/>
          <w:szCs w:val="56"/>
        </w:rPr>
      </w:pPr>
    </w:p>
    <w:p w14:paraId="34DCD2A6" w14:textId="7EE57425" w:rsidR="00EB6C96" w:rsidRPr="00715DED" w:rsidRDefault="00105B05" w:rsidP="00EB6C96">
      <w:pPr>
        <w:tabs>
          <w:tab w:val="left" w:pos="3649"/>
        </w:tabs>
        <w:jc w:val="center"/>
        <w:rPr>
          <w:rFonts w:cs="Times New Roman"/>
          <w:sz w:val="36"/>
          <w:szCs w:val="36"/>
        </w:rPr>
      </w:pPr>
      <w:r w:rsidRPr="00715DED">
        <w:rPr>
          <w:rFonts w:cs="Times New Roman"/>
          <w:sz w:val="36"/>
          <w:szCs w:val="36"/>
        </w:rPr>
        <w:t>ΔΙΠΛΩΜΑΤΙΚΗ ΕΡΓΑΣΙΑ</w:t>
      </w:r>
    </w:p>
    <w:p w14:paraId="31CD87BB" w14:textId="77777777" w:rsidR="00EB6C96" w:rsidRPr="00105B05" w:rsidRDefault="00EB6C96" w:rsidP="00EB6C96">
      <w:pPr>
        <w:tabs>
          <w:tab w:val="left" w:pos="3649"/>
        </w:tabs>
        <w:jc w:val="center"/>
        <w:rPr>
          <w:rFonts w:cs="Times New Roman"/>
          <w:b/>
          <w:bCs/>
          <w:sz w:val="56"/>
          <w:szCs w:val="56"/>
        </w:rPr>
      </w:pPr>
    </w:p>
    <w:p w14:paraId="559BA046" w14:textId="47F61343" w:rsidR="007B0048" w:rsidRPr="00105B05" w:rsidRDefault="007B0048" w:rsidP="00EF3EE0">
      <w:pPr>
        <w:tabs>
          <w:tab w:val="left" w:pos="3649"/>
        </w:tabs>
        <w:jc w:val="center"/>
        <w:rPr>
          <w:rFonts w:cs="Times New Roman"/>
          <w:sz w:val="32"/>
          <w:szCs w:val="32"/>
          <w:u w:val="single"/>
        </w:rPr>
      </w:pPr>
      <w:r w:rsidRPr="00105B05">
        <w:rPr>
          <w:rFonts w:cs="Times New Roman"/>
          <w:sz w:val="32"/>
          <w:szCs w:val="32"/>
          <w:u w:val="single"/>
        </w:rPr>
        <w:t>Οδυσσέα</w:t>
      </w:r>
      <w:r w:rsidR="00105B05">
        <w:rPr>
          <w:rFonts w:cs="Times New Roman"/>
          <w:sz w:val="32"/>
          <w:szCs w:val="32"/>
          <w:u w:val="single"/>
        </w:rPr>
        <w:t>ς</w:t>
      </w:r>
      <w:r w:rsidR="00CE2F82">
        <w:rPr>
          <w:rFonts w:cs="Times New Roman"/>
          <w:sz w:val="32"/>
          <w:szCs w:val="32"/>
          <w:u w:val="single"/>
        </w:rPr>
        <w:t xml:space="preserve"> </w:t>
      </w:r>
      <w:r w:rsidRPr="00105B05">
        <w:rPr>
          <w:rFonts w:cs="Times New Roman"/>
          <w:sz w:val="32"/>
          <w:szCs w:val="32"/>
          <w:u w:val="single"/>
        </w:rPr>
        <w:t xml:space="preserve">Εμμανουήλ </w:t>
      </w:r>
      <w:proofErr w:type="spellStart"/>
      <w:r w:rsidRPr="00105B05">
        <w:rPr>
          <w:rFonts w:cs="Times New Roman"/>
          <w:sz w:val="32"/>
          <w:szCs w:val="32"/>
          <w:u w:val="single"/>
        </w:rPr>
        <w:t>Σπανάκη</w:t>
      </w:r>
      <w:r w:rsidR="00105B05">
        <w:rPr>
          <w:rFonts w:cs="Times New Roman"/>
          <w:sz w:val="32"/>
          <w:szCs w:val="32"/>
          <w:u w:val="single"/>
        </w:rPr>
        <w:t>ς</w:t>
      </w:r>
      <w:proofErr w:type="spellEnd"/>
    </w:p>
    <w:p w14:paraId="4E607CAA" w14:textId="77777777" w:rsidR="00447009" w:rsidRPr="00822C2D" w:rsidRDefault="00447009" w:rsidP="00EF3EE0">
      <w:pPr>
        <w:tabs>
          <w:tab w:val="left" w:pos="3649"/>
        </w:tabs>
        <w:jc w:val="both"/>
        <w:rPr>
          <w:rFonts w:cs="Times New Roman"/>
          <w:b/>
          <w:bCs/>
          <w:sz w:val="32"/>
          <w:szCs w:val="32"/>
        </w:rPr>
      </w:pPr>
    </w:p>
    <w:p w14:paraId="543F70D6" w14:textId="77777777" w:rsidR="00105B05" w:rsidRPr="00822C2D" w:rsidRDefault="00105B05" w:rsidP="00EF3EE0">
      <w:pPr>
        <w:tabs>
          <w:tab w:val="left" w:pos="3649"/>
        </w:tabs>
        <w:jc w:val="both"/>
        <w:rPr>
          <w:rFonts w:cs="Times New Roman"/>
          <w:b/>
          <w:bCs/>
          <w:sz w:val="32"/>
          <w:szCs w:val="32"/>
        </w:rPr>
      </w:pPr>
    </w:p>
    <w:p w14:paraId="13AFDC9A" w14:textId="26BCB354" w:rsidR="00736C50" w:rsidRPr="0061482D" w:rsidRDefault="00905832" w:rsidP="00EF3EE0">
      <w:pPr>
        <w:jc w:val="both"/>
        <w:rPr>
          <w:rFonts w:cs="Times New Roman"/>
          <w:sz w:val="28"/>
          <w:szCs w:val="28"/>
        </w:rPr>
      </w:pPr>
      <w:r w:rsidRPr="007830B5">
        <w:rPr>
          <w:rFonts w:cs="Times New Roman"/>
          <w:b/>
          <w:bCs/>
          <w:sz w:val="28"/>
          <w:szCs w:val="28"/>
        </w:rPr>
        <w:t>Επιβλέπων</w:t>
      </w:r>
      <w:r w:rsidR="00736C50">
        <w:rPr>
          <w:rFonts w:cs="Times New Roman"/>
          <w:b/>
          <w:bCs/>
          <w:sz w:val="32"/>
          <w:szCs w:val="32"/>
        </w:rPr>
        <w:t xml:space="preserve"> </w:t>
      </w:r>
      <w:r w:rsidRPr="007830B5">
        <w:rPr>
          <w:rFonts w:cs="Times New Roman"/>
          <w:b/>
          <w:bCs/>
          <w:sz w:val="28"/>
          <w:szCs w:val="28"/>
        </w:rPr>
        <w:t>:</w:t>
      </w:r>
      <w:r w:rsidR="007830B5">
        <w:rPr>
          <w:rFonts w:cs="Times New Roman"/>
          <w:b/>
          <w:bCs/>
          <w:sz w:val="32"/>
          <w:szCs w:val="32"/>
        </w:rPr>
        <w:tab/>
      </w:r>
      <w:r w:rsidRPr="0061482D">
        <w:rPr>
          <w:rFonts w:cs="Times New Roman"/>
          <w:sz w:val="28"/>
          <w:szCs w:val="28"/>
        </w:rPr>
        <w:t>Α</w:t>
      </w:r>
      <w:r w:rsidR="00736C50" w:rsidRPr="0061482D">
        <w:rPr>
          <w:rFonts w:cs="Times New Roman"/>
          <w:sz w:val="28"/>
          <w:szCs w:val="28"/>
        </w:rPr>
        <w:t>ντώνιος</w:t>
      </w:r>
      <w:r w:rsidRPr="0061482D">
        <w:rPr>
          <w:rFonts w:cs="Times New Roman"/>
          <w:sz w:val="28"/>
          <w:szCs w:val="28"/>
        </w:rPr>
        <w:t xml:space="preserve"> </w:t>
      </w:r>
      <w:proofErr w:type="spellStart"/>
      <w:r w:rsidRPr="0061482D">
        <w:rPr>
          <w:rFonts w:cs="Times New Roman"/>
          <w:sz w:val="28"/>
          <w:szCs w:val="28"/>
        </w:rPr>
        <w:t>Κλαδάς</w:t>
      </w:r>
      <w:proofErr w:type="spellEnd"/>
    </w:p>
    <w:p w14:paraId="44D5C91B" w14:textId="010854BE" w:rsidR="00905832" w:rsidRPr="0061482D" w:rsidRDefault="00905832" w:rsidP="00736C50">
      <w:pPr>
        <w:ind w:left="1152" w:firstLine="576"/>
        <w:jc w:val="both"/>
        <w:rPr>
          <w:rFonts w:cs="Times New Roman"/>
          <w:sz w:val="28"/>
          <w:szCs w:val="28"/>
        </w:rPr>
      </w:pPr>
      <w:r w:rsidRPr="0061482D">
        <w:rPr>
          <w:rFonts w:cs="Times New Roman"/>
          <w:sz w:val="28"/>
          <w:szCs w:val="28"/>
        </w:rPr>
        <w:t>Καθηγητής</w:t>
      </w:r>
      <w:r w:rsidR="004612CC">
        <w:rPr>
          <w:rFonts w:cs="Times New Roman"/>
          <w:sz w:val="28"/>
          <w:szCs w:val="28"/>
        </w:rPr>
        <w:t xml:space="preserve"> ΕΜΠ</w:t>
      </w:r>
    </w:p>
    <w:p w14:paraId="40920B99" w14:textId="77777777" w:rsidR="002B52DD" w:rsidRDefault="002B52DD" w:rsidP="00EF3EE0">
      <w:pPr>
        <w:spacing w:after="120" w:line="240" w:lineRule="auto"/>
        <w:jc w:val="both"/>
        <w:rPr>
          <w:rFonts w:cs="Times New Roman"/>
          <w:b/>
          <w:bCs/>
          <w:sz w:val="32"/>
          <w:szCs w:val="32"/>
        </w:rPr>
      </w:pPr>
    </w:p>
    <w:p w14:paraId="14C9FE2D" w14:textId="77777777" w:rsidR="00105B05" w:rsidRDefault="00105B05" w:rsidP="00EF3EE0">
      <w:pPr>
        <w:spacing w:after="120" w:line="240" w:lineRule="auto"/>
        <w:jc w:val="both"/>
        <w:rPr>
          <w:rFonts w:cs="Times New Roman"/>
          <w:b/>
          <w:bCs/>
          <w:sz w:val="32"/>
          <w:szCs w:val="32"/>
        </w:rPr>
      </w:pPr>
    </w:p>
    <w:p w14:paraId="4CF23F5A" w14:textId="77777777" w:rsidR="00105B05" w:rsidRDefault="00105B05" w:rsidP="00EF3EE0">
      <w:pPr>
        <w:spacing w:after="120" w:line="240" w:lineRule="auto"/>
        <w:jc w:val="both"/>
        <w:rPr>
          <w:rFonts w:cs="Times New Roman"/>
          <w:b/>
          <w:bCs/>
          <w:sz w:val="32"/>
          <w:szCs w:val="32"/>
        </w:rPr>
      </w:pPr>
    </w:p>
    <w:p w14:paraId="22D92FAA" w14:textId="77777777" w:rsidR="00105B05" w:rsidRDefault="00105B05" w:rsidP="00EF3EE0">
      <w:pPr>
        <w:spacing w:after="120" w:line="240" w:lineRule="auto"/>
        <w:jc w:val="both"/>
        <w:rPr>
          <w:rFonts w:cs="Times New Roman"/>
          <w:b/>
          <w:bCs/>
          <w:sz w:val="32"/>
          <w:szCs w:val="32"/>
        </w:rPr>
      </w:pPr>
    </w:p>
    <w:p w14:paraId="191128B8" w14:textId="77777777" w:rsidR="007830B5" w:rsidRDefault="007830B5" w:rsidP="0061482D">
      <w:pPr>
        <w:spacing w:after="120" w:line="240" w:lineRule="auto"/>
        <w:jc w:val="center"/>
        <w:rPr>
          <w:rFonts w:cs="Times New Roman"/>
          <w:sz w:val="28"/>
          <w:szCs w:val="28"/>
        </w:rPr>
      </w:pPr>
    </w:p>
    <w:p w14:paraId="6A47F388" w14:textId="3F1EBBA3" w:rsidR="00105B05" w:rsidRPr="007830B5" w:rsidRDefault="0061482D" w:rsidP="0061482D">
      <w:pPr>
        <w:spacing w:after="120" w:line="240" w:lineRule="auto"/>
        <w:jc w:val="center"/>
        <w:rPr>
          <w:rFonts w:cs="Times New Roman"/>
          <w:sz w:val="28"/>
          <w:szCs w:val="28"/>
        </w:rPr>
      </w:pPr>
      <w:r w:rsidRPr="007830B5">
        <w:rPr>
          <w:rFonts w:cs="Times New Roman"/>
          <w:sz w:val="28"/>
          <w:szCs w:val="28"/>
        </w:rPr>
        <w:t>Αθήνα</w:t>
      </w:r>
      <w:r w:rsidR="007830B5">
        <w:rPr>
          <w:rFonts w:cs="Times New Roman"/>
          <w:sz w:val="28"/>
          <w:szCs w:val="28"/>
        </w:rPr>
        <w:t>, Οκτώβριος, 2026</w:t>
      </w:r>
    </w:p>
    <w:p w14:paraId="47531409" w14:textId="77777777" w:rsidR="00105B05" w:rsidRDefault="00105B05" w:rsidP="00EF3EE0">
      <w:pPr>
        <w:spacing w:after="120" w:line="240" w:lineRule="auto"/>
        <w:jc w:val="both"/>
        <w:rPr>
          <w:rFonts w:cs="Times New Roman"/>
          <w:b/>
          <w:bCs/>
          <w:sz w:val="32"/>
          <w:szCs w:val="32"/>
        </w:rPr>
      </w:pPr>
    </w:p>
    <w:p w14:paraId="4A77399D" w14:textId="77777777" w:rsidR="00105B05" w:rsidRDefault="00105B05" w:rsidP="00EF3EE0">
      <w:pPr>
        <w:spacing w:after="120" w:line="240" w:lineRule="auto"/>
        <w:jc w:val="both"/>
        <w:rPr>
          <w:rFonts w:cs="Times New Roman"/>
          <w:b/>
          <w:bCs/>
          <w:sz w:val="32"/>
          <w:szCs w:val="32"/>
        </w:rPr>
      </w:pPr>
    </w:p>
    <w:p w14:paraId="62A0952C" w14:textId="77777777" w:rsidR="00105B05" w:rsidRPr="00822C2D" w:rsidRDefault="00105B05" w:rsidP="00EF3EE0">
      <w:pPr>
        <w:spacing w:after="120" w:line="240" w:lineRule="auto"/>
        <w:jc w:val="both"/>
        <w:rPr>
          <w:rFonts w:cs="Times New Roman"/>
          <w:b/>
          <w:bCs/>
          <w:sz w:val="32"/>
          <w:szCs w:val="32"/>
        </w:rPr>
      </w:pPr>
    </w:p>
    <w:p w14:paraId="3DD3BD94" w14:textId="77777777" w:rsidR="002B52DD" w:rsidRDefault="002B52DD" w:rsidP="00EF3EE0">
      <w:pPr>
        <w:spacing w:after="120" w:line="240" w:lineRule="auto"/>
        <w:jc w:val="both"/>
        <w:rPr>
          <w:rFonts w:cs="Times New Roman"/>
          <w:b/>
          <w:bCs/>
          <w:sz w:val="32"/>
          <w:szCs w:val="32"/>
        </w:rPr>
      </w:pPr>
    </w:p>
    <w:p w14:paraId="010B5273" w14:textId="77777777" w:rsidR="007830B5" w:rsidRDefault="007830B5" w:rsidP="00EF3EE0">
      <w:pPr>
        <w:spacing w:after="120" w:line="240" w:lineRule="auto"/>
        <w:jc w:val="both"/>
        <w:rPr>
          <w:rFonts w:cs="Times New Roman"/>
          <w:b/>
          <w:bCs/>
          <w:sz w:val="32"/>
          <w:szCs w:val="32"/>
        </w:rPr>
      </w:pPr>
    </w:p>
    <w:p w14:paraId="12473DF3" w14:textId="77777777" w:rsidR="00057653" w:rsidRDefault="00057653" w:rsidP="00EF3EE0">
      <w:pPr>
        <w:spacing w:after="120" w:line="240" w:lineRule="auto"/>
        <w:jc w:val="both"/>
        <w:rPr>
          <w:rFonts w:cs="Times New Roman"/>
          <w:b/>
          <w:bCs/>
          <w:sz w:val="32"/>
          <w:szCs w:val="32"/>
        </w:rPr>
      </w:pPr>
    </w:p>
    <w:p w14:paraId="3DC26F34" w14:textId="77777777" w:rsidR="00057653" w:rsidRDefault="00057653" w:rsidP="00EF3EE0">
      <w:pPr>
        <w:spacing w:after="120" w:line="240" w:lineRule="auto"/>
        <w:jc w:val="both"/>
        <w:rPr>
          <w:rFonts w:cs="Times New Roman"/>
          <w:b/>
          <w:bCs/>
          <w:sz w:val="32"/>
          <w:szCs w:val="32"/>
        </w:rPr>
      </w:pPr>
    </w:p>
    <w:p w14:paraId="5E09A22E" w14:textId="77777777" w:rsidR="00057653" w:rsidRDefault="00057653" w:rsidP="00EF3EE0">
      <w:pPr>
        <w:spacing w:after="120" w:line="240" w:lineRule="auto"/>
        <w:jc w:val="both"/>
        <w:rPr>
          <w:rFonts w:cs="Times New Roman"/>
          <w:b/>
          <w:bCs/>
          <w:sz w:val="32"/>
          <w:szCs w:val="32"/>
        </w:rPr>
      </w:pPr>
    </w:p>
    <w:p w14:paraId="31A8F401" w14:textId="77777777" w:rsidR="00057653" w:rsidRDefault="00057653" w:rsidP="00EF3EE0">
      <w:pPr>
        <w:spacing w:after="120" w:line="240" w:lineRule="auto"/>
        <w:jc w:val="both"/>
        <w:rPr>
          <w:rFonts w:cs="Times New Roman"/>
          <w:b/>
          <w:bCs/>
          <w:sz w:val="32"/>
          <w:szCs w:val="32"/>
        </w:rPr>
      </w:pPr>
    </w:p>
    <w:p w14:paraId="2273D23F" w14:textId="77777777" w:rsidR="00057653" w:rsidRDefault="00057653" w:rsidP="00EF3EE0">
      <w:pPr>
        <w:spacing w:after="120" w:line="240" w:lineRule="auto"/>
        <w:jc w:val="both"/>
        <w:rPr>
          <w:rFonts w:cs="Times New Roman"/>
          <w:b/>
          <w:bCs/>
          <w:sz w:val="32"/>
          <w:szCs w:val="32"/>
        </w:rPr>
      </w:pPr>
    </w:p>
    <w:p w14:paraId="7AADFDFA" w14:textId="77777777" w:rsidR="00057653" w:rsidRDefault="00057653" w:rsidP="00EF3EE0">
      <w:pPr>
        <w:spacing w:after="120" w:line="240" w:lineRule="auto"/>
        <w:jc w:val="both"/>
        <w:rPr>
          <w:rFonts w:cs="Times New Roman"/>
          <w:b/>
          <w:bCs/>
          <w:sz w:val="32"/>
          <w:szCs w:val="32"/>
        </w:rPr>
      </w:pPr>
    </w:p>
    <w:p w14:paraId="0271C384" w14:textId="77777777" w:rsidR="00057653" w:rsidRDefault="00057653" w:rsidP="00EF3EE0">
      <w:pPr>
        <w:spacing w:after="120" w:line="240" w:lineRule="auto"/>
        <w:jc w:val="both"/>
        <w:rPr>
          <w:rFonts w:cs="Times New Roman"/>
          <w:b/>
          <w:bCs/>
          <w:sz w:val="32"/>
          <w:szCs w:val="32"/>
        </w:rPr>
      </w:pPr>
    </w:p>
    <w:p w14:paraId="2CF69D54" w14:textId="77777777" w:rsidR="00057653" w:rsidRDefault="00057653" w:rsidP="00EF3EE0">
      <w:pPr>
        <w:spacing w:after="120" w:line="240" w:lineRule="auto"/>
        <w:jc w:val="both"/>
        <w:rPr>
          <w:rFonts w:cs="Times New Roman"/>
          <w:b/>
          <w:bCs/>
          <w:sz w:val="32"/>
          <w:szCs w:val="32"/>
        </w:rPr>
      </w:pPr>
    </w:p>
    <w:p w14:paraId="38917720" w14:textId="77777777" w:rsidR="00057653" w:rsidRDefault="00057653" w:rsidP="00EF3EE0">
      <w:pPr>
        <w:spacing w:after="120" w:line="240" w:lineRule="auto"/>
        <w:jc w:val="both"/>
        <w:rPr>
          <w:rFonts w:cs="Times New Roman"/>
          <w:b/>
          <w:bCs/>
          <w:sz w:val="32"/>
          <w:szCs w:val="32"/>
        </w:rPr>
      </w:pPr>
    </w:p>
    <w:p w14:paraId="2553BB35" w14:textId="77777777" w:rsidR="00057653" w:rsidRDefault="00057653" w:rsidP="00EF3EE0">
      <w:pPr>
        <w:spacing w:after="120" w:line="240" w:lineRule="auto"/>
        <w:jc w:val="both"/>
        <w:rPr>
          <w:rFonts w:cs="Times New Roman"/>
          <w:b/>
          <w:bCs/>
          <w:sz w:val="32"/>
          <w:szCs w:val="32"/>
        </w:rPr>
      </w:pPr>
    </w:p>
    <w:p w14:paraId="2BB56617" w14:textId="77777777" w:rsidR="00057653" w:rsidRDefault="00057653" w:rsidP="00EF3EE0">
      <w:pPr>
        <w:spacing w:after="120" w:line="240" w:lineRule="auto"/>
        <w:jc w:val="both"/>
        <w:rPr>
          <w:rFonts w:cs="Times New Roman"/>
          <w:b/>
          <w:bCs/>
          <w:sz w:val="32"/>
          <w:szCs w:val="32"/>
        </w:rPr>
      </w:pPr>
    </w:p>
    <w:p w14:paraId="33451EDD" w14:textId="77777777" w:rsidR="00057653" w:rsidRDefault="00057653" w:rsidP="00EF3EE0">
      <w:pPr>
        <w:spacing w:after="120" w:line="240" w:lineRule="auto"/>
        <w:jc w:val="both"/>
        <w:rPr>
          <w:rFonts w:cs="Times New Roman"/>
          <w:b/>
          <w:bCs/>
          <w:sz w:val="32"/>
          <w:szCs w:val="32"/>
        </w:rPr>
      </w:pPr>
    </w:p>
    <w:p w14:paraId="7539433D" w14:textId="77777777" w:rsidR="00057653" w:rsidRDefault="00057653" w:rsidP="00EF3EE0">
      <w:pPr>
        <w:spacing w:after="120" w:line="240" w:lineRule="auto"/>
        <w:jc w:val="both"/>
        <w:rPr>
          <w:rFonts w:cs="Times New Roman"/>
          <w:b/>
          <w:bCs/>
          <w:sz w:val="32"/>
          <w:szCs w:val="32"/>
        </w:rPr>
      </w:pPr>
    </w:p>
    <w:p w14:paraId="062D1017" w14:textId="77777777" w:rsidR="00057653" w:rsidRDefault="00057653" w:rsidP="00EF3EE0">
      <w:pPr>
        <w:spacing w:after="120" w:line="240" w:lineRule="auto"/>
        <w:jc w:val="both"/>
        <w:rPr>
          <w:rFonts w:cs="Times New Roman"/>
          <w:b/>
          <w:bCs/>
          <w:sz w:val="32"/>
          <w:szCs w:val="32"/>
        </w:rPr>
      </w:pPr>
    </w:p>
    <w:p w14:paraId="65EA44D5" w14:textId="77777777" w:rsidR="00057653" w:rsidRDefault="00057653" w:rsidP="00EF3EE0">
      <w:pPr>
        <w:spacing w:after="120" w:line="240" w:lineRule="auto"/>
        <w:jc w:val="both"/>
        <w:rPr>
          <w:rFonts w:cs="Times New Roman"/>
          <w:b/>
          <w:bCs/>
          <w:sz w:val="32"/>
          <w:szCs w:val="32"/>
        </w:rPr>
      </w:pPr>
    </w:p>
    <w:p w14:paraId="54F6884C" w14:textId="77777777" w:rsidR="00057653" w:rsidRDefault="00057653" w:rsidP="00EF3EE0">
      <w:pPr>
        <w:spacing w:after="120" w:line="240" w:lineRule="auto"/>
        <w:jc w:val="both"/>
        <w:rPr>
          <w:rFonts w:cs="Times New Roman"/>
          <w:b/>
          <w:bCs/>
          <w:sz w:val="32"/>
          <w:szCs w:val="32"/>
        </w:rPr>
      </w:pPr>
    </w:p>
    <w:p w14:paraId="4028EDF4" w14:textId="77777777" w:rsidR="00057653" w:rsidRDefault="00057653" w:rsidP="00EF3EE0">
      <w:pPr>
        <w:spacing w:after="120" w:line="240" w:lineRule="auto"/>
        <w:jc w:val="both"/>
        <w:rPr>
          <w:rFonts w:cs="Times New Roman"/>
          <w:b/>
          <w:bCs/>
          <w:sz w:val="32"/>
          <w:szCs w:val="32"/>
        </w:rPr>
      </w:pPr>
    </w:p>
    <w:p w14:paraId="3A37CAE2" w14:textId="77777777" w:rsidR="00057653" w:rsidRDefault="00057653" w:rsidP="00EF3EE0">
      <w:pPr>
        <w:spacing w:after="120" w:line="240" w:lineRule="auto"/>
        <w:jc w:val="both"/>
        <w:rPr>
          <w:rFonts w:cs="Times New Roman"/>
          <w:b/>
          <w:bCs/>
          <w:sz w:val="32"/>
          <w:szCs w:val="32"/>
        </w:rPr>
      </w:pPr>
    </w:p>
    <w:p w14:paraId="07797642" w14:textId="77777777" w:rsidR="00057653" w:rsidRDefault="00057653" w:rsidP="00EF3EE0">
      <w:pPr>
        <w:spacing w:after="120" w:line="240" w:lineRule="auto"/>
        <w:jc w:val="both"/>
        <w:rPr>
          <w:rFonts w:cs="Times New Roman"/>
          <w:b/>
          <w:bCs/>
          <w:sz w:val="32"/>
          <w:szCs w:val="32"/>
        </w:rPr>
      </w:pPr>
    </w:p>
    <w:p w14:paraId="6371DB34" w14:textId="77777777" w:rsidR="00057653" w:rsidRDefault="00057653" w:rsidP="00EF3EE0">
      <w:pPr>
        <w:spacing w:after="120" w:line="240" w:lineRule="auto"/>
        <w:jc w:val="both"/>
        <w:rPr>
          <w:rFonts w:cs="Times New Roman"/>
          <w:b/>
          <w:bCs/>
          <w:sz w:val="32"/>
          <w:szCs w:val="32"/>
        </w:rPr>
      </w:pPr>
    </w:p>
    <w:p w14:paraId="0E362F04" w14:textId="77777777" w:rsidR="00057653" w:rsidRDefault="00057653" w:rsidP="00EF3EE0">
      <w:pPr>
        <w:spacing w:after="120" w:line="240" w:lineRule="auto"/>
        <w:jc w:val="both"/>
        <w:rPr>
          <w:rFonts w:cs="Times New Roman"/>
          <w:b/>
          <w:bCs/>
          <w:sz w:val="32"/>
          <w:szCs w:val="32"/>
        </w:rPr>
      </w:pPr>
    </w:p>
    <w:p w14:paraId="4345141F" w14:textId="77777777" w:rsidR="007830B5" w:rsidRDefault="007830B5" w:rsidP="00EF3EE0">
      <w:pPr>
        <w:spacing w:after="120" w:line="240" w:lineRule="auto"/>
        <w:jc w:val="both"/>
        <w:rPr>
          <w:rFonts w:cs="Times New Roman"/>
          <w:b/>
          <w:bCs/>
          <w:sz w:val="32"/>
          <w:szCs w:val="32"/>
        </w:rPr>
      </w:pPr>
    </w:p>
    <w:p w14:paraId="796672F3" w14:textId="77777777" w:rsidR="00850015" w:rsidRPr="00864147" w:rsidRDefault="00850015" w:rsidP="00850015">
      <w:pPr>
        <w:tabs>
          <w:tab w:val="left" w:pos="3649"/>
        </w:tabs>
        <w:jc w:val="both"/>
        <w:rPr>
          <w:rFonts w:cs="Times New Roman"/>
          <w:sz w:val="28"/>
          <w:szCs w:val="28"/>
        </w:rPr>
      </w:pPr>
      <w:r w:rsidRPr="00864147">
        <w:rPr>
          <w:noProof/>
          <w:sz w:val="20"/>
          <w:szCs w:val="20"/>
        </w:rPr>
        <w:lastRenderedPageBreak/>
        <w:drawing>
          <wp:anchor distT="0" distB="0" distL="114300" distR="114300" simplePos="0" relativeHeight="251660322" behindDoc="0" locked="0" layoutInCell="1" allowOverlap="1" wp14:anchorId="01B3CE0A" wp14:editId="5CA81795">
            <wp:simplePos x="0" y="0"/>
            <wp:positionH relativeFrom="margin">
              <wp:align>left</wp:align>
            </wp:positionH>
            <wp:positionV relativeFrom="paragraph">
              <wp:posOffset>206</wp:posOffset>
            </wp:positionV>
            <wp:extent cx="815340" cy="815340"/>
            <wp:effectExtent l="0" t="0" r="3810" b="3810"/>
            <wp:wrapSquare wrapText="bothSides"/>
            <wp:docPr id="1755621328"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5340" cy="815340"/>
                    </a:xfrm>
                    <a:prstGeom prst="rect">
                      <a:avLst/>
                    </a:prstGeom>
                    <a:noFill/>
                  </pic:spPr>
                </pic:pic>
              </a:graphicData>
            </a:graphic>
            <wp14:sizeRelH relativeFrom="margin">
              <wp14:pctWidth>0</wp14:pctWidth>
            </wp14:sizeRelH>
            <wp14:sizeRelV relativeFrom="margin">
              <wp14:pctHeight>0</wp14:pctHeight>
            </wp14:sizeRelV>
          </wp:anchor>
        </w:drawing>
      </w:r>
      <w:r w:rsidRPr="00864147">
        <w:rPr>
          <w:rFonts w:cs="Times New Roman"/>
          <w:sz w:val="28"/>
          <w:szCs w:val="28"/>
        </w:rPr>
        <w:t>ΕΘΝΙΚΟ ΜΕΤΣΟΒΙΟ ΠΟΛΥΤΕΧΝΕΙΟ</w:t>
      </w:r>
    </w:p>
    <w:p w14:paraId="6A54C87D" w14:textId="77777777" w:rsidR="00850015" w:rsidRPr="00864147" w:rsidRDefault="00850015" w:rsidP="00850015">
      <w:pPr>
        <w:tabs>
          <w:tab w:val="left" w:pos="3649"/>
        </w:tabs>
        <w:jc w:val="both"/>
        <w:rPr>
          <w:rFonts w:cs="Times New Roman"/>
        </w:rPr>
      </w:pPr>
      <w:r w:rsidRPr="00864147">
        <w:rPr>
          <w:rFonts w:cs="Times New Roman"/>
        </w:rPr>
        <w:t>Σχολή Ηλεκτρολόγων Μηχανικών και Μηχανικών Υπολογιστών</w:t>
      </w:r>
    </w:p>
    <w:p w14:paraId="519C591F" w14:textId="77777777" w:rsidR="00850015" w:rsidRPr="00864147" w:rsidRDefault="00850015" w:rsidP="00850015">
      <w:pPr>
        <w:tabs>
          <w:tab w:val="left" w:pos="3649"/>
        </w:tabs>
        <w:jc w:val="both"/>
        <w:rPr>
          <w:rFonts w:cs="Times New Roman"/>
        </w:rPr>
      </w:pPr>
      <w:r w:rsidRPr="00864147">
        <w:rPr>
          <w:rFonts w:cs="Times New Roman"/>
        </w:rPr>
        <w:t>Τομέας Ηλεκτρικής Ισχύος</w:t>
      </w:r>
    </w:p>
    <w:p w14:paraId="7613E1CF" w14:textId="77777777" w:rsidR="00850015" w:rsidRPr="00822C2D" w:rsidRDefault="00850015" w:rsidP="00850015">
      <w:pPr>
        <w:tabs>
          <w:tab w:val="left" w:pos="3649"/>
        </w:tabs>
        <w:jc w:val="both"/>
        <w:rPr>
          <w:rFonts w:cs="Times New Roman"/>
          <w:b/>
          <w:bCs/>
        </w:rPr>
      </w:pPr>
    </w:p>
    <w:p w14:paraId="73CAC373" w14:textId="77777777" w:rsidR="00850015" w:rsidRPr="00822C2D" w:rsidRDefault="00850015" w:rsidP="00850015">
      <w:pPr>
        <w:tabs>
          <w:tab w:val="left" w:pos="3649"/>
        </w:tabs>
        <w:jc w:val="both"/>
        <w:rPr>
          <w:rFonts w:cs="Times New Roman"/>
          <w:b/>
          <w:bCs/>
        </w:rPr>
      </w:pPr>
    </w:p>
    <w:p w14:paraId="44B8F95B" w14:textId="3DB6BB75" w:rsidR="00850015" w:rsidRPr="00850015" w:rsidRDefault="00850015" w:rsidP="00850015">
      <w:pPr>
        <w:tabs>
          <w:tab w:val="left" w:pos="3649"/>
        </w:tabs>
        <w:jc w:val="center"/>
        <w:rPr>
          <w:rFonts w:cs="Times New Roman"/>
          <w:b/>
          <w:bCs/>
          <w:sz w:val="56"/>
          <w:szCs w:val="56"/>
          <w:u w:val="single"/>
        </w:rPr>
      </w:pPr>
      <w:r w:rsidRPr="00105B05">
        <w:rPr>
          <w:rFonts w:cs="Times New Roman"/>
          <w:b/>
          <w:bCs/>
          <w:sz w:val="40"/>
          <w:szCs w:val="40"/>
          <w:u w:val="single"/>
        </w:rPr>
        <w:t>Τεχνοοικονομική Αξιολόγηση και Ανάλυση Συστ</w:t>
      </w:r>
      <w:r w:rsidR="00B4015A">
        <w:rPr>
          <w:rFonts w:cs="Times New Roman"/>
          <w:b/>
          <w:bCs/>
          <w:sz w:val="40"/>
          <w:szCs w:val="40"/>
          <w:u w:val="single"/>
        </w:rPr>
        <w:t>ημάτων</w:t>
      </w:r>
      <w:r w:rsidRPr="00105B05">
        <w:rPr>
          <w:rFonts w:cs="Times New Roman"/>
          <w:b/>
          <w:bCs/>
          <w:sz w:val="40"/>
          <w:szCs w:val="40"/>
          <w:u w:val="single"/>
        </w:rPr>
        <w:t xml:space="preserve"> Πρόωσης Πλοίων με Υποβοήθηση από τον Άνεμο</w:t>
      </w:r>
    </w:p>
    <w:p w14:paraId="2CDA77EE" w14:textId="77777777" w:rsidR="00850015" w:rsidRDefault="00850015" w:rsidP="00850015">
      <w:pPr>
        <w:tabs>
          <w:tab w:val="left" w:pos="3649"/>
        </w:tabs>
        <w:jc w:val="center"/>
        <w:rPr>
          <w:rFonts w:cs="Times New Roman"/>
          <w:b/>
          <w:bCs/>
          <w:sz w:val="56"/>
          <w:szCs w:val="56"/>
        </w:rPr>
      </w:pPr>
    </w:p>
    <w:p w14:paraId="2C5E2C37" w14:textId="38E463EE" w:rsidR="00850015" w:rsidRPr="00715DED" w:rsidRDefault="00850015" w:rsidP="00850015">
      <w:pPr>
        <w:tabs>
          <w:tab w:val="left" w:pos="3649"/>
        </w:tabs>
        <w:jc w:val="center"/>
        <w:rPr>
          <w:rFonts w:cs="Times New Roman"/>
          <w:sz w:val="36"/>
          <w:szCs w:val="36"/>
        </w:rPr>
      </w:pPr>
      <w:r w:rsidRPr="00715DED">
        <w:rPr>
          <w:rFonts w:cs="Times New Roman"/>
          <w:sz w:val="36"/>
          <w:szCs w:val="36"/>
        </w:rPr>
        <w:t>ΔΙΠΛΩΜΑΤΙΚΗ ΕΡΓΑΣΙΑ</w:t>
      </w:r>
    </w:p>
    <w:p w14:paraId="33D2F70C" w14:textId="77777777" w:rsidR="00850015" w:rsidRPr="00B828E6" w:rsidRDefault="00850015" w:rsidP="00850015">
      <w:pPr>
        <w:tabs>
          <w:tab w:val="left" w:pos="3649"/>
        </w:tabs>
        <w:jc w:val="center"/>
        <w:rPr>
          <w:rFonts w:cs="Times New Roman"/>
          <w:b/>
          <w:bCs/>
          <w:sz w:val="36"/>
          <w:szCs w:val="36"/>
        </w:rPr>
      </w:pPr>
    </w:p>
    <w:p w14:paraId="3F5C629F" w14:textId="465723A8" w:rsidR="00850015" w:rsidRPr="00105B05" w:rsidRDefault="00850015" w:rsidP="00850015">
      <w:pPr>
        <w:tabs>
          <w:tab w:val="left" w:pos="3649"/>
        </w:tabs>
        <w:jc w:val="center"/>
        <w:rPr>
          <w:rFonts w:cs="Times New Roman"/>
          <w:sz w:val="32"/>
          <w:szCs w:val="32"/>
          <w:u w:val="single"/>
        </w:rPr>
      </w:pPr>
      <w:r w:rsidRPr="00105B05">
        <w:rPr>
          <w:rFonts w:cs="Times New Roman"/>
          <w:sz w:val="32"/>
          <w:szCs w:val="32"/>
          <w:u w:val="single"/>
        </w:rPr>
        <w:t>Οδυσσέα</w:t>
      </w:r>
      <w:r>
        <w:rPr>
          <w:rFonts w:cs="Times New Roman"/>
          <w:sz w:val="32"/>
          <w:szCs w:val="32"/>
          <w:u w:val="single"/>
        </w:rPr>
        <w:t>ς</w:t>
      </w:r>
      <w:r w:rsidR="00CE2F82">
        <w:rPr>
          <w:rFonts w:cs="Times New Roman"/>
          <w:sz w:val="32"/>
          <w:szCs w:val="32"/>
          <w:u w:val="single"/>
        </w:rPr>
        <w:t xml:space="preserve"> </w:t>
      </w:r>
      <w:r w:rsidRPr="00105B05">
        <w:rPr>
          <w:rFonts w:cs="Times New Roman"/>
          <w:sz w:val="32"/>
          <w:szCs w:val="32"/>
          <w:u w:val="single"/>
        </w:rPr>
        <w:t xml:space="preserve">Εμμανουήλ </w:t>
      </w:r>
      <w:proofErr w:type="spellStart"/>
      <w:r w:rsidRPr="00105B05">
        <w:rPr>
          <w:rFonts w:cs="Times New Roman"/>
          <w:sz w:val="32"/>
          <w:szCs w:val="32"/>
          <w:u w:val="single"/>
        </w:rPr>
        <w:t>Σπανάκη</w:t>
      </w:r>
      <w:r>
        <w:rPr>
          <w:rFonts w:cs="Times New Roman"/>
          <w:sz w:val="32"/>
          <w:szCs w:val="32"/>
          <w:u w:val="single"/>
        </w:rPr>
        <w:t>ς</w:t>
      </w:r>
      <w:proofErr w:type="spellEnd"/>
    </w:p>
    <w:p w14:paraId="7C6660D6" w14:textId="77777777" w:rsidR="00850015" w:rsidRPr="00822C2D" w:rsidRDefault="00850015" w:rsidP="00850015">
      <w:pPr>
        <w:tabs>
          <w:tab w:val="left" w:pos="3649"/>
        </w:tabs>
        <w:jc w:val="both"/>
        <w:rPr>
          <w:rFonts w:cs="Times New Roman"/>
          <w:b/>
          <w:bCs/>
          <w:sz w:val="32"/>
          <w:szCs w:val="32"/>
        </w:rPr>
      </w:pPr>
    </w:p>
    <w:p w14:paraId="7E9DED72" w14:textId="77777777" w:rsidR="00850015" w:rsidRPr="0061482D" w:rsidRDefault="00850015" w:rsidP="00850015">
      <w:pPr>
        <w:jc w:val="both"/>
        <w:rPr>
          <w:rFonts w:cs="Times New Roman"/>
          <w:sz w:val="28"/>
          <w:szCs w:val="28"/>
        </w:rPr>
      </w:pPr>
      <w:r w:rsidRPr="007830B5">
        <w:rPr>
          <w:rFonts w:cs="Times New Roman"/>
          <w:b/>
          <w:bCs/>
          <w:sz w:val="28"/>
          <w:szCs w:val="28"/>
        </w:rPr>
        <w:t>Επιβλέπων</w:t>
      </w:r>
      <w:r>
        <w:rPr>
          <w:rFonts w:cs="Times New Roman"/>
          <w:b/>
          <w:bCs/>
          <w:sz w:val="32"/>
          <w:szCs w:val="32"/>
        </w:rPr>
        <w:t xml:space="preserve"> </w:t>
      </w:r>
      <w:r w:rsidRPr="007830B5">
        <w:rPr>
          <w:rFonts w:cs="Times New Roman"/>
          <w:b/>
          <w:bCs/>
          <w:sz w:val="28"/>
          <w:szCs w:val="28"/>
        </w:rPr>
        <w:t>:</w:t>
      </w:r>
      <w:r>
        <w:rPr>
          <w:rFonts w:cs="Times New Roman"/>
          <w:b/>
          <w:bCs/>
          <w:sz w:val="32"/>
          <w:szCs w:val="32"/>
        </w:rPr>
        <w:tab/>
      </w:r>
      <w:r w:rsidRPr="0061482D">
        <w:rPr>
          <w:rFonts w:cs="Times New Roman"/>
          <w:sz w:val="28"/>
          <w:szCs w:val="28"/>
        </w:rPr>
        <w:t xml:space="preserve">Αντώνιος </w:t>
      </w:r>
      <w:proofErr w:type="spellStart"/>
      <w:r w:rsidRPr="0061482D">
        <w:rPr>
          <w:rFonts w:cs="Times New Roman"/>
          <w:sz w:val="28"/>
          <w:szCs w:val="28"/>
        </w:rPr>
        <w:t>Κλαδάς</w:t>
      </w:r>
      <w:proofErr w:type="spellEnd"/>
    </w:p>
    <w:p w14:paraId="0BAB2A6D" w14:textId="7F3C4829" w:rsidR="00850015" w:rsidRPr="004612CC" w:rsidRDefault="00850015" w:rsidP="00850015">
      <w:pPr>
        <w:ind w:left="1152" w:firstLine="576"/>
        <w:jc w:val="both"/>
        <w:rPr>
          <w:rFonts w:cs="Times New Roman"/>
          <w:sz w:val="28"/>
          <w:szCs w:val="28"/>
        </w:rPr>
      </w:pPr>
      <w:r w:rsidRPr="0061482D">
        <w:rPr>
          <w:rFonts w:cs="Times New Roman"/>
          <w:sz w:val="28"/>
          <w:szCs w:val="28"/>
        </w:rPr>
        <w:t>Καθηγητής</w:t>
      </w:r>
      <w:r w:rsidR="004612CC" w:rsidRPr="004612CC">
        <w:rPr>
          <w:rFonts w:cs="Times New Roman"/>
          <w:sz w:val="28"/>
          <w:szCs w:val="28"/>
        </w:rPr>
        <w:t xml:space="preserve"> </w:t>
      </w:r>
      <w:r w:rsidR="004612CC">
        <w:rPr>
          <w:rFonts w:cs="Times New Roman"/>
          <w:sz w:val="28"/>
          <w:szCs w:val="28"/>
        </w:rPr>
        <w:t>ΕΜΠ</w:t>
      </w:r>
    </w:p>
    <w:p w14:paraId="78D888D2" w14:textId="77777777" w:rsidR="00B828E6" w:rsidRPr="0061482D" w:rsidRDefault="00B828E6" w:rsidP="00850015">
      <w:pPr>
        <w:ind w:left="1152" w:firstLine="576"/>
        <w:jc w:val="both"/>
        <w:rPr>
          <w:rFonts w:cs="Times New Roman"/>
          <w:sz w:val="28"/>
          <w:szCs w:val="28"/>
        </w:rPr>
      </w:pPr>
    </w:p>
    <w:p w14:paraId="1F2482ED" w14:textId="6C4493A8" w:rsidR="00850015" w:rsidRPr="00FB247F" w:rsidRDefault="00B828E6" w:rsidP="00FB247F">
      <w:pPr>
        <w:spacing w:after="120" w:line="240" w:lineRule="auto"/>
        <w:jc w:val="center"/>
        <w:rPr>
          <w:rFonts w:cs="Times New Roman"/>
        </w:rPr>
      </w:pPr>
      <w:r w:rsidRPr="00B828E6">
        <w:rPr>
          <w:rFonts w:cs="Times New Roman"/>
        </w:rPr>
        <w:t xml:space="preserve">Εγκρίθηκε από την </w:t>
      </w:r>
      <w:proofErr w:type="spellStart"/>
      <w:r w:rsidRPr="00B828E6">
        <w:rPr>
          <w:rFonts w:cs="Times New Roman"/>
        </w:rPr>
        <w:t>τριµελή</w:t>
      </w:r>
      <w:proofErr w:type="spellEnd"/>
      <w:r w:rsidRPr="00B828E6">
        <w:rPr>
          <w:rFonts w:cs="Times New Roman"/>
        </w:rPr>
        <w:t xml:space="preserve"> εξεταστική επιτροπή την </w:t>
      </w:r>
      <w:r w:rsidR="004612CC">
        <w:rPr>
          <w:rFonts w:cs="Times New Roman"/>
        </w:rPr>
        <w:t>19/10/26</w:t>
      </w:r>
    </w:p>
    <w:p w14:paraId="09B4233C" w14:textId="2E952FD3" w:rsidR="00850015" w:rsidRDefault="00850015" w:rsidP="00FB247F">
      <w:pPr>
        <w:spacing w:after="120" w:line="240" w:lineRule="auto"/>
        <w:jc w:val="center"/>
        <w:rPr>
          <w:rFonts w:cs="Times New Roman"/>
          <w:sz w:val="28"/>
          <w:szCs w:val="28"/>
        </w:rPr>
      </w:pPr>
    </w:p>
    <w:p w14:paraId="152D9D29" w14:textId="77777777" w:rsidR="00FB247F" w:rsidRDefault="00FB247F" w:rsidP="00FB247F">
      <w:pPr>
        <w:spacing w:after="120" w:line="240" w:lineRule="auto"/>
        <w:jc w:val="center"/>
        <w:rPr>
          <w:rFonts w:cs="Times New Roman"/>
          <w:sz w:val="28"/>
          <w:szCs w:val="28"/>
        </w:rPr>
      </w:pPr>
    </w:p>
    <w:p w14:paraId="2E524476" w14:textId="77777777" w:rsidR="00FB247F" w:rsidRPr="006F7093" w:rsidRDefault="00FB247F" w:rsidP="00FB247F">
      <w:pPr>
        <w:spacing w:after="120" w:line="240" w:lineRule="auto"/>
        <w:jc w:val="center"/>
        <w:rPr>
          <w:rFonts w:cs="Times New Roman"/>
          <w:sz w:val="28"/>
          <w:szCs w:val="28"/>
        </w:rPr>
      </w:pPr>
    </w:p>
    <w:p w14:paraId="65890585" w14:textId="1487F084" w:rsidR="006F7093" w:rsidRDefault="006F7093" w:rsidP="00FB247F">
      <w:pPr>
        <w:jc w:val="center"/>
        <w:rPr>
          <w:rFonts w:cs="Times New Roman"/>
          <w:sz w:val="28"/>
          <w:szCs w:val="28"/>
        </w:rPr>
      </w:pPr>
      <w:r w:rsidRPr="0061482D">
        <w:rPr>
          <w:rFonts w:cs="Times New Roman"/>
          <w:sz w:val="28"/>
          <w:szCs w:val="28"/>
        </w:rPr>
        <w:t xml:space="preserve">Αντώνιος </w:t>
      </w:r>
      <w:proofErr w:type="spellStart"/>
      <w:r w:rsidRPr="0061482D">
        <w:rPr>
          <w:rFonts w:cs="Times New Roman"/>
          <w:sz w:val="28"/>
          <w:szCs w:val="28"/>
        </w:rPr>
        <w:t>Κλαδάς</w:t>
      </w:r>
      <w:proofErr w:type="spellEnd"/>
      <w:r>
        <w:rPr>
          <w:rFonts w:cs="Times New Roman"/>
          <w:sz w:val="28"/>
          <w:szCs w:val="28"/>
        </w:rPr>
        <w:t xml:space="preserve">      </w:t>
      </w:r>
      <w:r w:rsidR="00FB247F">
        <w:rPr>
          <w:rFonts w:cs="Times New Roman"/>
          <w:sz w:val="28"/>
          <w:szCs w:val="28"/>
        </w:rPr>
        <w:t xml:space="preserve">   Αθανάσιος Σαρηγιαννίδης</w:t>
      </w:r>
      <w:r w:rsidR="006207BD">
        <w:rPr>
          <w:rFonts w:cs="Times New Roman"/>
          <w:sz w:val="28"/>
          <w:szCs w:val="28"/>
        </w:rPr>
        <w:t xml:space="preserve">      </w:t>
      </w:r>
      <w:r>
        <w:rPr>
          <w:rFonts w:cs="Times New Roman"/>
          <w:sz w:val="28"/>
          <w:szCs w:val="28"/>
        </w:rPr>
        <w:t xml:space="preserve"> Ιωάννης </w:t>
      </w:r>
      <w:proofErr w:type="spellStart"/>
      <w:r w:rsidRPr="006F7093">
        <w:rPr>
          <w:rFonts w:cs="Times New Roman"/>
          <w:sz w:val="28"/>
          <w:szCs w:val="28"/>
        </w:rPr>
        <w:t>Προυσαλίδης</w:t>
      </w:r>
      <w:proofErr w:type="spellEnd"/>
    </w:p>
    <w:p w14:paraId="5EB859E3" w14:textId="251925C8" w:rsidR="00850015" w:rsidRPr="00FB247F" w:rsidRDefault="00FB247F" w:rsidP="00FB247F">
      <w:pPr>
        <w:rPr>
          <w:rFonts w:cs="Times New Roman"/>
          <w:b/>
          <w:bCs/>
          <w:sz w:val="28"/>
          <w:szCs w:val="28"/>
        </w:rPr>
      </w:pPr>
      <w:r>
        <w:rPr>
          <w:rFonts w:cs="Times New Roman"/>
          <w:sz w:val="28"/>
          <w:szCs w:val="28"/>
        </w:rPr>
        <w:t xml:space="preserve"> </w:t>
      </w:r>
      <w:r w:rsidR="006F7093" w:rsidRPr="0061482D">
        <w:rPr>
          <w:rFonts w:cs="Times New Roman"/>
          <w:sz w:val="28"/>
          <w:szCs w:val="28"/>
        </w:rPr>
        <w:t>Καθηγητής, Ε</w:t>
      </w:r>
      <w:r>
        <w:rPr>
          <w:rFonts w:cs="Times New Roman"/>
          <w:sz w:val="28"/>
          <w:szCs w:val="28"/>
        </w:rPr>
        <w:t>ΜΠ</w:t>
      </w:r>
      <w:r w:rsidR="006207BD">
        <w:rPr>
          <w:rFonts w:cs="Times New Roman"/>
          <w:sz w:val="28"/>
          <w:szCs w:val="28"/>
        </w:rPr>
        <w:t xml:space="preserve"> </w:t>
      </w:r>
      <w:r>
        <w:rPr>
          <w:rFonts w:cs="Times New Roman"/>
          <w:sz w:val="28"/>
          <w:szCs w:val="28"/>
        </w:rPr>
        <w:t xml:space="preserve">     Επίκουρος Καθηγητής, ΕΜΠ</w:t>
      </w:r>
      <w:r w:rsidR="006207BD">
        <w:rPr>
          <w:rFonts w:cs="Times New Roman"/>
          <w:sz w:val="28"/>
          <w:szCs w:val="28"/>
        </w:rPr>
        <w:t xml:space="preserve">    </w:t>
      </w:r>
      <w:r>
        <w:rPr>
          <w:rFonts w:cs="Times New Roman"/>
          <w:sz w:val="28"/>
          <w:szCs w:val="28"/>
        </w:rPr>
        <w:t xml:space="preserve">    </w:t>
      </w:r>
      <w:r w:rsidRPr="006F7093">
        <w:rPr>
          <w:rFonts w:cs="Times New Roman"/>
          <w:sz w:val="28"/>
          <w:szCs w:val="28"/>
        </w:rPr>
        <w:t>Καθηγητής</w:t>
      </w:r>
      <w:r>
        <w:rPr>
          <w:rFonts w:cs="Times New Roman"/>
          <w:sz w:val="28"/>
          <w:szCs w:val="28"/>
        </w:rPr>
        <w:t>, ΕΜΠ</w:t>
      </w:r>
    </w:p>
    <w:p w14:paraId="0CE3F9BC" w14:textId="77777777" w:rsidR="00850015" w:rsidRDefault="00850015" w:rsidP="00850015">
      <w:pPr>
        <w:spacing w:after="120" w:line="240" w:lineRule="auto"/>
        <w:jc w:val="center"/>
        <w:rPr>
          <w:rFonts w:cs="Times New Roman"/>
          <w:sz w:val="28"/>
          <w:szCs w:val="28"/>
        </w:rPr>
      </w:pPr>
    </w:p>
    <w:p w14:paraId="45790754" w14:textId="036F1CA8" w:rsidR="007830B5" w:rsidRDefault="00850015" w:rsidP="00C672B7">
      <w:pPr>
        <w:spacing w:after="120" w:line="240" w:lineRule="auto"/>
        <w:jc w:val="center"/>
        <w:rPr>
          <w:rFonts w:cs="Times New Roman"/>
          <w:sz w:val="28"/>
          <w:szCs w:val="28"/>
        </w:rPr>
      </w:pPr>
      <w:r w:rsidRPr="007830B5">
        <w:rPr>
          <w:rFonts w:cs="Times New Roman"/>
          <w:sz w:val="28"/>
          <w:szCs w:val="28"/>
        </w:rPr>
        <w:t>Αθήνα</w:t>
      </w:r>
      <w:r>
        <w:rPr>
          <w:rFonts w:cs="Times New Roman"/>
          <w:sz w:val="28"/>
          <w:szCs w:val="28"/>
        </w:rPr>
        <w:t>, Οκτώβριος, 2026</w:t>
      </w:r>
    </w:p>
    <w:p w14:paraId="34762FA0" w14:textId="6C41B8A5" w:rsidR="00C672B7" w:rsidRPr="00CE2F82" w:rsidRDefault="00C672B7" w:rsidP="00C672B7">
      <w:pPr>
        <w:spacing w:after="120" w:line="240" w:lineRule="auto"/>
        <w:rPr>
          <w:rFonts w:cs="Times New Roman"/>
        </w:rPr>
      </w:pPr>
      <w:r w:rsidRPr="00CE2F82">
        <w:rPr>
          <w:rFonts w:cs="Times New Roman"/>
        </w:rPr>
        <w:lastRenderedPageBreak/>
        <w:t>Οδυσσέας</w:t>
      </w:r>
      <w:r w:rsidR="00CE2F82" w:rsidRPr="00CE2F82">
        <w:rPr>
          <w:rFonts w:cs="Times New Roman"/>
        </w:rPr>
        <w:t xml:space="preserve"> Εμμανουήλ </w:t>
      </w:r>
      <w:proofErr w:type="spellStart"/>
      <w:r w:rsidR="00CE2F82" w:rsidRPr="00CE2F82">
        <w:rPr>
          <w:rFonts w:cs="Times New Roman"/>
        </w:rPr>
        <w:t>Σπανάκης</w:t>
      </w:r>
      <w:proofErr w:type="spellEnd"/>
    </w:p>
    <w:p w14:paraId="56BCBFAA" w14:textId="2551254F" w:rsidR="007830B5" w:rsidRPr="00CE2F82" w:rsidRDefault="00CE2F82" w:rsidP="00EF3EE0">
      <w:pPr>
        <w:spacing w:after="120" w:line="240" w:lineRule="auto"/>
        <w:jc w:val="both"/>
        <w:rPr>
          <w:rFonts w:cs="Times New Roman"/>
        </w:rPr>
      </w:pPr>
      <w:r w:rsidRPr="00CE2F82">
        <w:rPr>
          <w:rFonts w:cs="Times New Roman"/>
        </w:rPr>
        <w:t>Διπλωματούχος Ηλεκτρολόγος Μηχανικός και Μηχανικός Υπολογιστών Ε.Μ.Π</w:t>
      </w:r>
    </w:p>
    <w:p w14:paraId="1DB09095" w14:textId="77777777" w:rsidR="007830B5" w:rsidRDefault="007830B5" w:rsidP="00EF3EE0">
      <w:pPr>
        <w:spacing w:after="120" w:line="240" w:lineRule="auto"/>
        <w:jc w:val="both"/>
        <w:rPr>
          <w:rFonts w:cs="Times New Roman"/>
          <w:b/>
          <w:bCs/>
          <w:sz w:val="32"/>
          <w:szCs w:val="32"/>
        </w:rPr>
      </w:pPr>
    </w:p>
    <w:p w14:paraId="467F0876" w14:textId="77777777" w:rsidR="007830B5" w:rsidRDefault="007830B5" w:rsidP="00EF3EE0">
      <w:pPr>
        <w:spacing w:after="120" w:line="240" w:lineRule="auto"/>
        <w:jc w:val="both"/>
        <w:rPr>
          <w:rFonts w:cs="Times New Roman"/>
          <w:b/>
          <w:bCs/>
          <w:sz w:val="32"/>
          <w:szCs w:val="32"/>
        </w:rPr>
      </w:pPr>
    </w:p>
    <w:p w14:paraId="15FDF97C" w14:textId="77777777" w:rsidR="007830B5" w:rsidRDefault="007830B5" w:rsidP="00EF3EE0">
      <w:pPr>
        <w:spacing w:after="120" w:line="240" w:lineRule="auto"/>
        <w:jc w:val="both"/>
        <w:rPr>
          <w:rFonts w:cs="Times New Roman"/>
          <w:b/>
          <w:bCs/>
          <w:sz w:val="32"/>
          <w:szCs w:val="32"/>
        </w:rPr>
      </w:pPr>
    </w:p>
    <w:p w14:paraId="263D916C" w14:textId="77777777" w:rsidR="007830B5" w:rsidRDefault="007830B5" w:rsidP="00EF3EE0">
      <w:pPr>
        <w:spacing w:after="120" w:line="240" w:lineRule="auto"/>
        <w:jc w:val="both"/>
        <w:rPr>
          <w:rFonts w:cs="Times New Roman"/>
          <w:b/>
          <w:bCs/>
          <w:sz w:val="32"/>
          <w:szCs w:val="32"/>
        </w:rPr>
      </w:pPr>
    </w:p>
    <w:p w14:paraId="6BA69BF9" w14:textId="77777777" w:rsidR="007830B5" w:rsidRDefault="007830B5" w:rsidP="00EF3EE0">
      <w:pPr>
        <w:spacing w:after="120" w:line="240" w:lineRule="auto"/>
        <w:jc w:val="both"/>
        <w:rPr>
          <w:rFonts w:cs="Times New Roman"/>
          <w:b/>
          <w:bCs/>
          <w:sz w:val="32"/>
          <w:szCs w:val="32"/>
        </w:rPr>
      </w:pPr>
    </w:p>
    <w:p w14:paraId="1A61A3A2" w14:textId="77777777" w:rsidR="007830B5" w:rsidRDefault="007830B5" w:rsidP="00EF3EE0">
      <w:pPr>
        <w:spacing w:after="120" w:line="240" w:lineRule="auto"/>
        <w:jc w:val="both"/>
        <w:rPr>
          <w:rFonts w:cs="Times New Roman"/>
          <w:b/>
          <w:bCs/>
          <w:sz w:val="32"/>
          <w:szCs w:val="32"/>
        </w:rPr>
      </w:pPr>
    </w:p>
    <w:p w14:paraId="61028E63" w14:textId="77777777" w:rsidR="007830B5" w:rsidRDefault="007830B5" w:rsidP="00EF3EE0">
      <w:pPr>
        <w:spacing w:after="120" w:line="240" w:lineRule="auto"/>
        <w:jc w:val="both"/>
        <w:rPr>
          <w:rFonts w:cs="Times New Roman"/>
          <w:b/>
          <w:bCs/>
          <w:sz w:val="32"/>
          <w:szCs w:val="32"/>
        </w:rPr>
      </w:pPr>
    </w:p>
    <w:p w14:paraId="146CCF13" w14:textId="77777777" w:rsidR="007830B5" w:rsidRDefault="007830B5" w:rsidP="00EF3EE0">
      <w:pPr>
        <w:spacing w:after="120" w:line="240" w:lineRule="auto"/>
        <w:jc w:val="both"/>
        <w:rPr>
          <w:rFonts w:cs="Times New Roman"/>
          <w:b/>
          <w:bCs/>
          <w:sz w:val="32"/>
          <w:szCs w:val="32"/>
        </w:rPr>
      </w:pPr>
    </w:p>
    <w:p w14:paraId="0E54B7B5" w14:textId="77777777" w:rsidR="007830B5" w:rsidRDefault="007830B5" w:rsidP="00EF3EE0">
      <w:pPr>
        <w:spacing w:after="120" w:line="240" w:lineRule="auto"/>
        <w:jc w:val="both"/>
        <w:rPr>
          <w:rFonts w:cs="Times New Roman"/>
          <w:b/>
          <w:bCs/>
          <w:sz w:val="32"/>
          <w:szCs w:val="32"/>
        </w:rPr>
      </w:pPr>
    </w:p>
    <w:p w14:paraId="2DD0E54B" w14:textId="77777777" w:rsidR="00ED1462" w:rsidRDefault="00ED1462" w:rsidP="00ED1462">
      <w:pPr>
        <w:spacing w:after="120" w:line="240" w:lineRule="auto"/>
        <w:rPr>
          <w:rFonts w:cs="Times New Roman"/>
        </w:rPr>
      </w:pPr>
    </w:p>
    <w:p w14:paraId="0FFF4BD2" w14:textId="77777777" w:rsidR="00ED1462" w:rsidRDefault="00ED1462" w:rsidP="00ED1462">
      <w:pPr>
        <w:spacing w:after="120" w:line="240" w:lineRule="auto"/>
        <w:rPr>
          <w:rFonts w:cs="Times New Roman"/>
        </w:rPr>
      </w:pPr>
    </w:p>
    <w:p w14:paraId="058E6838" w14:textId="77777777" w:rsidR="00ED1462" w:rsidRDefault="00ED1462" w:rsidP="00ED1462">
      <w:pPr>
        <w:spacing w:after="120" w:line="240" w:lineRule="auto"/>
        <w:rPr>
          <w:rFonts w:cs="Times New Roman"/>
        </w:rPr>
      </w:pPr>
    </w:p>
    <w:p w14:paraId="2930BFF9" w14:textId="77777777" w:rsidR="00ED1462" w:rsidRDefault="00ED1462" w:rsidP="00ED1462">
      <w:pPr>
        <w:spacing w:after="120" w:line="240" w:lineRule="auto"/>
        <w:rPr>
          <w:rFonts w:cs="Times New Roman"/>
        </w:rPr>
      </w:pPr>
    </w:p>
    <w:p w14:paraId="42919CE5" w14:textId="77777777" w:rsidR="00ED1462" w:rsidRDefault="00ED1462" w:rsidP="00ED1462">
      <w:pPr>
        <w:spacing w:after="120" w:line="240" w:lineRule="auto"/>
        <w:rPr>
          <w:rFonts w:cs="Times New Roman"/>
        </w:rPr>
      </w:pPr>
    </w:p>
    <w:p w14:paraId="652C3015" w14:textId="77777777" w:rsidR="00ED1462" w:rsidRDefault="00ED1462" w:rsidP="00ED1462">
      <w:pPr>
        <w:spacing w:after="120" w:line="240" w:lineRule="auto"/>
        <w:rPr>
          <w:rFonts w:cs="Times New Roman"/>
        </w:rPr>
      </w:pPr>
      <w:proofErr w:type="spellStart"/>
      <w:r w:rsidRPr="00ED1462">
        <w:rPr>
          <w:rFonts w:cs="Times New Roman"/>
        </w:rPr>
        <w:t>Copyright</w:t>
      </w:r>
      <w:proofErr w:type="spellEnd"/>
      <w:r w:rsidRPr="00ED1462">
        <w:rPr>
          <w:rFonts w:cs="Times New Roman"/>
        </w:rPr>
        <w:t xml:space="preserve"> © </w:t>
      </w:r>
      <w:r w:rsidRPr="00ED1462">
        <w:rPr>
          <w:rFonts w:cs="Times New Roman"/>
          <w:b/>
          <w:bCs/>
          <w:u w:val="single"/>
        </w:rPr>
        <w:t xml:space="preserve">Οδυσσέας Εμμανουήλ </w:t>
      </w:r>
      <w:proofErr w:type="spellStart"/>
      <w:r w:rsidRPr="00ED1462">
        <w:rPr>
          <w:rFonts w:cs="Times New Roman"/>
          <w:b/>
          <w:bCs/>
          <w:u w:val="single"/>
        </w:rPr>
        <w:t>Σπανάκης</w:t>
      </w:r>
      <w:proofErr w:type="spellEnd"/>
      <w:r w:rsidRPr="00ED1462">
        <w:rPr>
          <w:rFonts w:cs="Times New Roman"/>
          <w:b/>
          <w:bCs/>
          <w:u w:val="single"/>
        </w:rPr>
        <w:t>, 2026</w:t>
      </w:r>
    </w:p>
    <w:p w14:paraId="23855800" w14:textId="05609476" w:rsidR="00ED1462" w:rsidRDefault="00ED1462" w:rsidP="00ED1462">
      <w:pPr>
        <w:spacing w:after="120" w:line="240" w:lineRule="auto"/>
        <w:rPr>
          <w:rFonts w:cs="Times New Roman"/>
        </w:rPr>
      </w:pPr>
      <w:r w:rsidRPr="00ED1462">
        <w:rPr>
          <w:rFonts w:cs="Times New Roman"/>
        </w:rPr>
        <w:t xml:space="preserve">Με επιφύλαξη παντός </w:t>
      </w:r>
      <w:proofErr w:type="spellStart"/>
      <w:r w:rsidRPr="00ED1462">
        <w:rPr>
          <w:rFonts w:cs="Times New Roman"/>
        </w:rPr>
        <w:t>δικαιώµατος</w:t>
      </w:r>
      <w:proofErr w:type="spellEnd"/>
      <w:r w:rsidRPr="00ED1462">
        <w:rPr>
          <w:rFonts w:cs="Times New Roman"/>
        </w:rPr>
        <w:t xml:space="preserve">. </w:t>
      </w:r>
      <w:proofErr w:type="spellStart"/>
      <w:r w:rsidRPr="00ED1462">
        <w:rPr>
          <w:rFonts w:cs="Times New Roman"/>
        </w:rPr>
        <w:t>All</w:t>
      </w:r>
      <w:proofErr w:type="spellEnd"/>
      <w:r w:rsidRPr="00ED1462">
        <w:rPr>
          <w:rFonts w:cs="Times New Roman"/>
        </w:rPr>
        <w:t xml:space="preserve"> </w:t>
      </w:r>
      <w:proofErr w:type="spellStart"/>
      <w:r w:rsidRPr="00ED1462">
        <w:rPr>
          <w:rFonts w:cs="Times New Roman"/>
        </w:rPr>
        <w:t>rights</w:t>
      </w:r>
      <w:proofErr w:type="spellEnd"/>
      <w:r w:rsidRPr="00ED1462">
        <w:rPr>
          <w:rFonts w:cs="Times New Roman"/>
        </w:rPr>
        <w:t xml:space="preserve"> </w:t>
      </w:r>
      <w:proofErr w:type="spellStart"/>
      <w:r w:rsidRPr="00ED1462">
        <w:rPr>
          <w:rFonts w:cs="Times New Roman"/>
        </w:rPr>
        <w:t>reserved</w:t>
      </w:r>
      <w:proofErr w:type="spellEnd"/>
      <w:r w:rsidRPr="00ED1462">
        <w:rPr>
          <w:rFonts w:cs="Times New Roman"/>
        </w:rPr>
        <w:t xml:space="preserve">. </w:t>
      </w:r>
    </w:p>
    <w:p w14:paraId="313765C1" w14:textId="77777777" w:rsidR="00ED1462" w:rsidRDefault="00ED1462" w:rsidP="00ED1462">
      <w:pPr>
        <w:spacing w:after="120" w:line="240" w:lineRule="auto"/>
        <w:rPr>
          <w:rFonts w:cs="Times New Roman"/>
        </w:rPr>
      </w:pPr>
    </w:p>
    <w:p w14:paraId="093511EB" w14:textId="6B3D7ED3" w:rsidR="00ED1462" w:rsidRPr="00ED1462" w:rsidRDefault="00ED1462" w:rsidP="00ED1462">
      <w:pPr>
        <w:spacing w:after="120" w:line="240" w:lineRule="auto"/>
        <w:rPr>
          <w:rFonts w:cs="Times New Roman"/>
        </w:rPr>
      </w:pPr>
      <w:r w:rsidRPr="00ED1462">
        <w:rPr>
          <w:rFonts w:cs="Times New Roman"/>
        </w:rPr>
        <w:t xml:space="preserve">Απαγορεύεται η αντιγραφή, αποθήκευση και </w:t>
      </w:r>
      <w:proofErr w:type="spellStart"/>
      <w:r w:rsidRPr="00ED1462">
        <w:rPr>
          <w:rFonts w:cs="Times New Roman"/>
        </w:rPr>
        <w:t>διανοµή</w:t>
      </w:r>
      <w:proofErr w:type="spellEnd"/>
      <w:r w:rsidRPr="00ED1462">
        <w:rPr>
          <w:rFonts w:cs="Times New Roman"/>
        </w:rPr>
        <w:t xml:space="preserve"> της παρούσας εργασίας, εξ ολοκλήρου ή </w:t>
      </w:r>
      <w:proofErr w:type="spellStart"/>
      <w:r w:rsidRPr="00ED1462">
        <w:rPr>
          <w:rFonts w:cs="Times New Roman"/>
        </w:rPr>
        <w:t>τµήµατος</w:t>
      </w:r>
      <w:proofErr w:type="spellEnd"/>
      <w:r w:rsidRPr="00ED1462">
        <w:rPr>
          <w:rFonts w:cs="Times New Roman"/>
        </w:rPr>
        <w:t xml:space="preserve"> αυτής, για </w:t>
      </w:r>
      <w:proofErr w:type="spellStart"/>
      <w:r w:rsidRPr="00ED1462">
        <w:rPr>
          <w:rFonts w:cs="Times New Roman"/>
        </w:rPr>
        <w:t>εµπορικό</w:t>
      </w:r>
      <w:proofErr w:type="spellEnd"/>
      <w:r w:rsidRPr="00ED1462">
        <w:rPr>
          <w:rFonts w:cs="Times New Roman"/>
        </w:rPr>
        <w:t xml:space="preserve"> σκοπό. Επιτρέπεται η ανατύπωση, αποθήκευση και </w:t>
      </w:r>
      <w:proofErr w:type="spellStart"/>
      <w:r w:rsidRPr="00ED1462">
        <w:rPr>
          <w:rFonts w:cs="Times New Roman"/>
        </w:rPr>
        <w:t>διανοµή</w:t>
      </w:r>
      <w:proofErr w:type="spellEnd"/>
      <w:r w:rsidRPr="00ED1462">
        <w:rPr>
          <w:rFonts w:cs="Times New Roman"/>
        </w:rPr>
        <w:t xml:space="preserve"> για σκοπό µη κερδοσκοπικό, εκπαιδευτικής ή ερευνητικής φύσης, υπό την προϋπόθεση να αναφέρεται η πηγή προέλευσης και να διατηρείται το παρόν µ</w:t>
      </w:r>
      <w:proofErr w:type="spellStart"/>
      <w:r w:rsidRPr="00ED1462">
        <w:rPr>
          <w:rFonts w:cs="Times New Roman"/>
        </w:rPr>
        <w:t>ήνυµα</w:t>
      </w:r>
      <w:proofErr w:type="spellEnd"/>
      <w:r w:rsidRPr="00ED1462">
        <w:rPr>
          <w:rFonts w:cs="Times New Roman"/>
        </w:rPr>
        <w:t xml:space="preserve">. </w:t>
      </w:r>
      <w:proofErr w:type="spellStart"/>
      <w:r w:rsidRPr="00ED1462">
        <w:rPr>
          <w:rFonts w:cs="Times New Roman"/>
        </w:rPr>
        <w:t>Ερωτήµατα</w:t>
      </w:r>
      <w:proofErr w:type="spellEnd"/>
      <w:r w:rsidRPr="00ED1462">
        <w:rPr>
          <w:rFonts w:cs="Times New Roman"/>
        </w:rPr>
        <w:t xml:space="preserve"> που αφορούν τη χρήση </w:t>
      </w:r>
      <w:proofErr w:type="spellStart"/>
      <w:r w:rsidRPr="00ED1462">
        <w:rPr>
          <w:rFonts w:cs="Times New Roman"/>
        </w:rPr>
        <w:t>της,εργασίας</w:t>
      </w:r>
      <w:proofErr w:type="spellEnd"/>
      <w:r w:rsidRPr="00ED1462">
        <w:rPr>
          <w:rFonts w:cs="Times New Roman"/>
        </w:rPr>
        <w:t xml:space="preserve"> για κερδοσκοπικό σκοπό πρέπει να απευθύνονται προς τον συγγραφέα. </w:t>
      </w:r>
    </w:p>
    <w:p w14:paraId="117D4263" w14:textId="77777777" w:rsidR="00ED1462" w:rsidRDefault="00ED1462" w:rsidP="00ED1462">
      <w:pPr>
        <w:spacing w:after="120" w:line="240" w:lineRule="auto"/>
        <w:rPr>
          <w:rFonts w:cs="Times New Roman"/>
        </w:rPr>
      </w:pPr>
    </w:p>
    <w:p w14:paraId="2DBA564A" w14:textId="77777777" w:rsidR="00397758" w:rsidRDefault="00ED1462" w:rsidP="00A46D9C">
      <w:pPr>
        <w:spacing w:after="120" w:line="240" w:lineRule="auto"/>
        <w:rPr>
          <w:rFonts w:cs="Times New Roman"/>
        </w:rPr>
      </w:pPr>
      <w:r w:rsidRPr="00ED1462">
        <w:rPr>
          <w:rFonts w:cs="Times New Roman"/>
        </w:rPr>
        <w:t xml:space="preserve">Οι απόψεις και τα </w:t>
      </w:r>
      <w:proofErr w:type="spellStart"/>
      <w:r w:rsidRPr="00ED1462">
        <w:rPr>
          <w:rFonts w:cs="Times New Roman"/>
        </w:rPr>
        <w:t>συµπεράσµατα</w:t>
      </w:r>
      <w:proofErr w:type="spellEnd"/>
      <w:r w:rsidRPr="00ED1462">
        <w:rPr>
          <w:rFonts w:cs="Times New Roman"/>
        </w:rPr>
        <w:t xml:space="preserve"> που περιέχονται σε αυτό το έγγραφο εκφράζουν τον συγγραφέα και δεν πρέπει να </w:t>
      </w:r>
      <w:proofErr w:type="spellStart"/>
      <w:r w:rsidRPr="00ED1462">
        <w:rPr>
          <w:rFonts w:cs="Times New Roman"/>
        </w:rPr>
        <w:t>ερµηνευθεί</w:t>
      </w:r>
      <w:proofErr w:type="spellEnd"/>
      <w:r w:rsidRPr="00ED1462">
        <w:rPr>
          <w:rFonts w:cs="Times New Roman"/>
        </w:rPr>
        <w:t xml:space="preserve"> ότι αντιπροσωπεύουν τις </w:t>
      </w:r>
      <w:proofErr w:type="spellStart"/>
      <w:r w:rsidRPr="00ED1462">
        <w:rPr>
          <w:rFonts w:cs="Times New Roman"/>
        </w:rPr>
        <w:t>επίσηµες</w:t>
      </w:r>
      <w:proofErr w:type="spellEnd"/>
      <w:r w:rsidRPr="00ED1462">
        <w:rPr>
          <w:rFonts w:cs="Times New Roman"/>
        </w:rPr>
        <w:t xml:space="preserve"> θέσεις του Εθνικού Μετσόβιου Πολυτεχνείου.</w:t>
      </w:r>
    </w:p>
    <w:p w14:paraId="6050D35F" w14:textId="33A090A7" w:rsidR="00A46D9C" w:rsidRPr="00A46D9C" w:rsidRDefault="00A46D9C" w:rsidP="00A46D9C">
      <w:pPr>
        <w:spacing w:after="120" w:line="240" w:lineRule="auto"/>
        <w:rPr>
          <w:rFonts w:cs="Times New Roman"/>
        </w:rPr>
        <w:sectPr w:rsidR="00A46D9C" w:rsidRPr="00A46D9C" w:rsidSect="00734051">
          <w:footerReference w:type="default" r:id="rId9"/>
          <w:pgSz w:w="12240" w:h="15840"/>
          <w:pgMar w:top="1440" w:right="1800" w:bottom="1440" w:left="1800" w:header="720" w:footer="720" w:gutter="0"/>
          <w:pgNumType w:start="1"/>
          <w:cols w:space="720"/>
          <w:titlePg/>
          <w:docGrid w:linePitch="360"/>
        </w:sectPr>
      </w:pPr>
    </w:p>
    <w:p w14:paraId="72E10AFD" w14:textId="0E2DA8F7" w:rsidR="00C672B7" w:rsidRPr="00F10079" w:rsidRDefault="00F10079" w:rsidP="00A46D9C">
      <w:pPr>
        <w:spacing w:after="120" w:line="240" w:lineRule="auto"/>
        <w:jc w:val="center"/>
        <w:rPr>
          <w:rFonts w:cs="Times New Roman"/>
          <w:b/>
          <w:bCs/>
          <w:sz w:val="28"/>
          <w:szCs w:val="28"/>
        </w:rPr>
      </w:pPr>
      <w:r w:rsidRPr="00F10079">
        <w:rPr>
          <w:rFonts w:cs="Times New Roman"/>
          <w:b/>
          <w:bCs/>
          <w:sz w:val="28"/>
          <w:szCs w:val="28"/>
        </w:rPr>
        <w:lastRenderedPageBreak/>
        <w:t>Περίληψη</w:t>
      </w:r>
    </w:p>
    <w:p w14:paraId="4B80DC22" w14:textId="518E6198" w:rsidR="006944EE" w:rsidRPr="006944EE" w:rsidRDefault="006944EE" w:rsidP="006944EE">
      <w:pPr>
        <w:spacing w:after="120" w:line="360" w:lineRule="auto"/>
        <w:jc w:val="both"/>
        <w:rPr>
          <w:rFonts w:cs="Times New Roman"/>
        </w:rPr>
      </w:pPr>
      <w:r w:rsidRPr="006944EE">
        <w:rPr>
          <w:rFonts w:cs="Times New Roman"/>
        </w:rPr>
        <w:t xml:space="preserve">Η ναυτιλία </w:t>
      </w:r>
      <w:r w:rsidR="002C0762">
        <w:rPr>
          <w:rFonts w:cs="Times New Roman"/>
        </w:rPr>
        <w:t>εξασφαλίζει τη μεταφορά ποσοστού μεγαλύτερου από</w:t>
      </w:r>
      <w:r w:rsidRPr="006944EE">
        <w:rPr>
          <w:rFonts w:cs="Times New Roman"/>
        </w:rPr>
        <w:t xml:space="preserve"> 80% του παγκόσμιου εμπορίου σε όγκο και ευθύνεται για περίπου 3% των ανθρωπογενών εκπομπών αερίων θερμοκηπίου. Ο Διεθνής Ναυτιλιακός Οργανισμός (</w:t>
      </w:r>
      <w:r w:rsidRPr="006944EE">
        <w:rPr>
          <w:rFonts w:cs="Times New Roman"/>
          <w:lang w:val="en-GB"/>
        </w:rPr>
        <w:t>IMO</w:t>
      </w:r>
      <w:r w:rsidRPr="006944EE">
        <w:rPr>
          <w:rFonts w:cs="Times New Roman"/>
        </w:rPr>
        <w:t xml:space="preserve">) έχει θέσει στόχο μηδενικών καθαρών εκπομπών </w:t>
      </w:r>
      <w:r w:rsidR="002C0762">
        <w:rPr>
          <w:rFonts w:cs="Times New Roman"/>
        </w:rPr>
        <w:t xml:space="preserve">μέχρι </w:t>
      </w:r>
      <w:r w:rsidRPr="006944EE">
        <w:rPr>
          <w:rFonts w:cs="Times New Roman"/>
        </w:rPr>
        <w:t xml:space="preserve">το 2050, ενώ στην Ευρώπη </w:t>
      </w:r>
      <w:r w:rsidR="002C0762">
        <w:rPr>
          <w:rFonts w:cs="Times New Roman"/>
        </w:rPr>
        <w:t xml:space="preserve">στην ΄κατεύθυνση </w:t>
      </w:r>
      <w:r w:rsidRPr="006944EE">
        <w:rPr>
          <w:rFonts w:cs="Times New Roman"/>
        </w:rPr>
        <w:t xml:space="preserve"> </w:t>
      </w:r>
      <w:r w:rsidR="002C0762">
        <w:rPr>
          <w:rFonts w:cs="Times New Roman"/>
        </w:rPr>
        <w:t xml:space="preserve">αυτή έχουν τεθεί </w:t>
      </w:r>
      <w:r w:rsidR="004C38F3">
        <w:rPr>
          <w:rFonts w:cs="Times New Roman"/>
        </w:rPr>
        <w:t>ήδη</w:t>
      </w:r>
      <w:r w:rsidR="002C0762">
        <w:rPr>
          <w:rFonts w:cs="Times New Roman"/>
        </w:rPr>
        <w:t xml:space="preserve"> σε ισχύ</w:t>
      </w:r>
      <w:r w:rsidRPr="006944EE">
        <w:rPr>
          <w:rFonts w:cs="Times New Roman"/>
        </w:rPr>
        <w:t xml:space="preserve"> το σύστημα </w:t>
      </w:r>
      <w:r w:rsidRPr="006944EE">
        <w:rPr>
          <w:rFonts w:cs="Times New Roman"/>
          <w:lang w:val="en-GB"/>
        </w:rPr>
        <w:t>MRV</w:t>
      </w:r>
      <w:r w:rsidRPr="006944EE">
        <w:rPr>
          <w:rFonts w:cs="Times New Roman"/>
        </w:rPr>
        <w:t>, το Σύστημα Εμπορίας Δικαιωμάτων Εκπομπών (</w:t>
      </w:r>
      <w:r w:rsidRPr="006944EE">
        <w:rPr>
          <w:rFonts w:cs="Times New Roman"/>
          <w:lang w:val="en-GB"/>
        </w:rPr>
        <w:t>EU</w:t>
      </w:r>
      <w:r w:rsidRPr="006944EE">
        <w:rPr>
          <w:rFonts w:cs="Times New Roman"/>
        </w:rPr>
        <w:t xml:space="preserve"> </w:t>
      </w:r>
      <w:r w:rsidRPr="006944EE">
        <w:rPr>
          <w:rFonts w:cs="Times New Roman"/>
          <w:lang w:val="en-GB"/>
        </w:rPr>
        <w:t>ETS</w:t>
      </w:r>
      <w:r w:rsidRPr="006944EE">
        <w:rPr>
          <w:rFonts w:cs="Times New Roman"/>
        </w:rPr>
        <w:t xml:space="preserve">) και ο κανονισμός </w:t>
      </w:r>
      <w:proofErr w:type="spellStart"/>
      <w:r w:rsidRPr="006944EE">
        <w:rPr>
          <w:rFonts w:cs="Times New Roman"/>
          <w:lang w:val="en-GB"/>
        </w:rPr>
        <w:t>FuelEU</w:t>
      </w:r>
      <w:proofErr w:type="spellEnd"/>
      <w:r w:rsidRPr="006944EE">
        <w:rPr>
          <w:rFonts w:cs="Times New Roman"/>
        </w:rPr>
        <w:t xml:space="preserve"> </w:t>
      </w:r>
      <w:r w:rsidRPr="006944EE">
        <w:rPr>
          <w:rFonts w:cs="Times New Roman"/>
          <w:lang w:val="en-GB"/>
        </w:rPr>
        <w:t>Maritime</w:t>
      </w:r>
      <w:r w:rsidRPr="006944EE">
        <w:rPr>
          <w:rFonts w:cs="Times New Roman"/>
        </w:rPr>
        <w:t xml:space="preserve">. Τα εναλλακτικά καύσιμα παραμένουν ακριβά και περιορισμένα σε διαθεσιμότητα, γι' αυτό η μείωση της κατανάλωσης καυσίμου </w:t>
      </w:r>
      <w:r w:rsidR="002C0762">
        <w:rPr>
          <w:rFonts w:cs="Times New Roman"/>
        </w:rPr>
        <w:t>έχει αναδειχθεί</w:t>
      </w:r>
      <w:r w:rsidRPr="006944EE">
        <w:rPr>
          <w:rFonts w:cs="Times New Roman"/>
        </w:rPr>
        <w:t xml:space="preserve"> αναγκαία. Σε αυτό το πλαίσιο, η εργασία εξετάζει τα συστήματα αιολικής υποβοήθησης της πρόωσης (</w:t>
      </w:r>
      <w:r w:rsidRPr="006944EE">
        <w:rPr>
          <w:rFonts w:cs="Times New Roman"/>
          <w:lang w:val="en-GB"/>
        </w:rPr>
        <w:t>WAPS</w:t>
      </w:r>
      <w:r w:rsidRPr="006944EE">
        <w:rPr>
          <w:rFonts w:cs="Times New Roman"/>
        </w:rPr>
        <w:t>), τα οποία αξιοποιούν τον άνεμο απευθείας ως ώση και μειώνουν την ισχύ που πρέπει να παρέχει η κύρια μηχανή.</w:t>
      </w:r>
      <w:r>
        <w:rPr>
          <w:rFonts w:cs="Times New Roman"/>
        </w:rPr>
        <w:t xml:space="preserve"> </w:t>
      </w:r>
      <w:r w:rsidRPr="006944EE">
        <w:rPr>
          <w:rFonts w:cs="Times New Roman"/>
        </w:rPr>
        <w:t xml:space="preserve">Σκοπός είναι η αξιολόγηση των </w:t>
      </w:r>
      <w:r w:rsidRPr="006944EE">
        <w:rPr>
          <w:rFonts w:cs="Times New Roman"/>
          <w:lang w:val="en-GB"/>
        </w:rPr>
        <w:t>WAPS</w:t>
      </w:r>
      <w:r w:rsidRPr="006944EE">
        <w:rPr>
          <w:rFonts w:cs="Times New Roman"/>
        </w:rPr>
        <w:t xml:space="preserve"> ως μέσου βελτίωσης της ενεργειακής και περιβαλλοντικής επίδοσης των εμπορικών πλοίων, με βάση τη βιβλιογραφία και δημόσια διαθέσιμα δεδομένα.</w:t>
      </w:r>
      <w:r>
        <w:rPr>
          <w:rFonts w:cs="Times New Roman"/>
        </w:rPr>
        <w:t xml:space="preserve"> </w:t>
      </w:r>
      <w:r w:rsidRPr="006944EE">
        <w:rPr>
          <w:rFonts w:cs="Times New Roman"/>
        </w:rPr>
        <w:t xml:space="preserve">Η εργασία </w:t>
      </w:r>
      <w:r w:rsidR="00EF4D36">
        <w:rPr>
          <w:rFonts w:cs="Times New Roman"/>
        </w:rPr>
        <w:t>σε ένα πρώτο βήμα</w:t>
      </w:r>
      <w:r w:rsidR="00EF4D36" w:rsidRPr="006944EE">
        <w:rPr>
          <w:rFonts w:cs="Times New Roman"/>
        </w:rPr>
        <w:t xml:space="preserve"> </w:t>
      </w:r>
      <w:r w:rsidRPr="006944EE">
        <w:rPr>
          <w:rFonts w:cs="Times New Roman"/>
        </w:rPr>
        <w:t xml:space="preserve">περιγράφει τους τύπους </w:t>
      </w:r>
      <w:r w:rsidRPr="006944EE">
        <w:rPr>
          <w:rFonts w:cs="Times New Roman"/>
          <w:lang w:val="en-GB"/>
        </w:rPr>
        <w:t>WAPS</w:t>
      </w:r>
      <w:r w:rsidRPr="006944EE">
        <w:rPr>
          <w:rFonts w:cs="Times New Roman"/>
        </w:rPr>
        <w:t xml:space="preserve"> και τους παράγοντες που καθορίζουν την επίδοσή τους, και σ</w:t>
      </w:r>
      <w:r w:rsidR="0063170E">
        <w:rPr>
          <w:rFonts w:cs="Times New Roman"/>
        </w:rPr>
        <w:t xml:space="preserve">τη </w:t>
      </w:r>
      <w:r w:rsidRPr="006944EE">
        <w:rPr>
          <w:rFonts w:cs="Times New Roman"/>
        </w:rPr>
        <w:t>συνέχεια εξετάζει το κόστος, την εξοικονόμηση καυσίμου και τους οικονομικούς δείκτες. Ακολο</w:t>
      </w:r>
      <w:r w:rsidR="00EF4D36">
        <w:rPr>
          <w:rFonts w:cs="Times New Roman"/>
        </w:rPr>
        <w:t>ύθως παρουσιάζονται</w:t>
      </w:r>
      <w:r w:rsidRPr="006944EE">
        <w:rPr>
          <w:rFonts w:cs="Times New Roman"/>
        </w:rPr>
        <w:t xml:space="preserve"> οι ευρωπαϊκές εκπομπές (144,9 εκατ. τόνοι </w:t>
      </w:r>
      <w:r w:rsidRPr="006944EE">
        <w:rPr>
          <w:rFonts w:cs="Times New Roman"/>
          <w:lang w:val="en-GB"/>
        </w:rPr>
        <w:t>CO</w:t>
      </w:r>
      <w:r w:rsidRPr="006944EE">
        <w:rPr>
          <w:rFonts w:cs="Times New Roman"/>
        </w:rPr>
        <w:t xml:space="preserve">₂ το 2024), οι κανονισμοί της Ευρώπης και του </w:t>
      </w:r>
      <w:r w:rsidRPr="006944EE">
        <w:rPr>
          <w:rFonts w:cs="Times New Roman"/>
          <w:lang w:val="en-GB"/>
        </w:rPr>
        <w:t>IMO</w:t>
      </w:r>
      <w:r w:rsidRPr="006944EE">
        <w:rPr>
          <w:rFonts w:cs="Times New Roman"/>
        </w:rPr>
        <w:t xml:space="preserve"> και ενδεικτικοί υπολογισμοί </w:t>
      </w:r>
      <w:r w:rsidR="00EF4D36">
        <w:rPr>
          <w:rFonts w:cs="Times New Roman"/>
        </w:rPr>
        <w:t xml:space="preserve">της </w:t>
      </w:r>
      <w:r w:rsidRPr="006944EE">
        <w:rPr>
          <w:rFonts w:cs="Times New Roman"/>
        </w:rPr>
        <w:t>μεταβ</w:t>
      </w:r>
      <w:r w:rsidR="00EF4D36">
        <w:rPr>
          <w:rFonts w:cs="Times New Roman"/>
        </w:rPr>
        <w:t>ολής</w:t>
      </w:r>
      <w:r w:rsidRPr="006944EE">
        <w:rPr>
          <w:rFonts w:cs="Times New Roman"/>
        </w:rPr>
        <w:t xml:space="preserve"> </w:t>
      </w:r>
      <w:r w:rsidR="00EF4D36">
        <w:rPr>
          <w:rFonts w:cs="Times New Roman"/>
        </w:rPr>
        <w:t>που προκαλείται σ</w:t>
      </w:r>
      <w:r w:rsidRPr="006944EE">
        <w:rPr>
          <w:rFonts w:cs="Times New Roman"/>
        </w:rPr>
        <w:t>τη</w:t>
      </w:r>
      <w:r w:rsidR="00EF4D36">
        <w:rPr>
          <w:rFonts w:cs="Times New Roman"/>
        </w:rPr>
        <w:t>ν</w:t>
      </w:r>
      <w:r w:rsidRPr="006944EE">
        <w:rPr>
          <w:rFonts w:cs="Times New Roman"/>
        </w:rPr>
        <w:t xml:space="preserve"> αξία της εξοικονόμησης καυσίμου. </w:t>
      </w:r>
      <w:r w:rsidR="002C0762">
        <w:rPr>
          <w:rFonts w:cs="Times New Roman"/>
        </w:rPr>
        <w:t>Η εργασία ολοκληρώνεται</w:t>
      </w:r>
      <w:r w:rsidRPr="006944EE">
        <w:rPr>
          <w:rFonts w:cs="Times New Roman"/>
        </w:rPr>
        <w:t xml:space="preserve"> με τη</w:t>
      </w:r>
      <w:r w:rsidR="00EF4D36">
        <w:rPr>
          <w:rFonts w:cs="Times New Roman"/>
        </w:rPr>
        <w:t>ν αξιολόγηση των ευρημάτων</w:t>
      </w:r>
      <w:r w:rsidRPr="006944EE">
        <w:rPr>
          <w:rFonts w:cs="Times New Roman"/>
        </w:rPr>
        <w:t xml:space="preserve">, τα συμπεράσματα και προτάσεις για </w:t>
      </w:r>
      <w:r w:rsidR="002C0762">
        <w:rPr>
          <w:rFonts w:cs="Times New Roman"/>
        </w:rPr>
        <w:t>περαιτέρω διερεύνηση</w:t>
      </w:r>
      <w:r w:rsidRPr="006944EE">
        <w:rPr>
          <w:rFonts w:cs="Times New Roman"/>
        </w:rPr>
        <w:t>.</w:t>
      </w:r>
      <w:r>
        <w:rPr>
          <w:rFonts w:cs="Times New Roman"/>
        </w:rPr>
        <w:t xml:space="preserve"> </w:t>
      </w:r>
      <w:r w:rsidRPr="006944EE">
        <w:rPr>
          <w:rFonts w:cs="Times New Roman"/>
        </w:rPr>
        <w:t xml:space="preserve">Τα αποτελέσματα δείχνουν ότι η εξοικονόμηση των </w:t>
      </w:r>
      <w:r w:rsidRPr="006944EE">
        <w:rPr>
          <w:rFonts w:cs="Times New Roman"/>
          <w:lang w:val="en-GB"/>
        </w:rPr>
        <w:t>WAPS</w:t>
      </w:r>
      <w:r w:rsidRPr="006944EE">
        <w:rPr>
          <w:rFonts w:cs="Times New Roman"/>
        </w:rPr>
        <w:t xml:space="preserve"> είναι της τάξης μερικών ποσοστιαίων μονάδων (συνήθως 4–15% για ιστία-</w:t>
      </w:r>
      <w:proofErr w:type="spellStart"/>
      <w:r w:rsidRPr="006944EE">
        <w:rPr>
          <w:rFonts w:cs="Times New Roman"/>
        </w:rPr>
        <w:t>ρότορες</w:t>
      </w:r>
      <w:proofErr w:type="spellEnd"/>
      <w:r w:rsidRPr="006944EE">
        <w:rPr>
          <w:rFonts w:cs="Times New Roman"/>
        </w:rPr>
        <w:t>) και εξαρτάται περισσότερο από τον άνεμο, τη διαδρομή, τον τύπο του πλοίου και την ταχύτητα</w:t>
      </w:r>
      <w:r w:rsidR="002C0762">
        <w:rPr>
          <w:rFonts w:cs="Times New Roman"/>
        </w:rPr>
        <w:t xml:space="preserve"> πλεύσης</w:t>
      </w:r>
      <w:r w:rsidRPr="006944EE">
        <w:rPr>
          <w:rFonts w:cs="Times New Roman"/>
        </w:rPr>
        <w:t xml:space="preserve"> παρά από την ίδια την τεχνολογία</w:t>
      </w:r>
      <w:r w:rsidR="002C0762">
        <w:rPr>
          <w:rFonts w:cs="Times New Roman"/>
        </w:rPr>
        <w:t xml:space="preserve"> που εφαρμόζεται</w:t>
      </w:r>
      <w:r w:rsidRPr="006944EE">
        <w:rPr>
          <w:rFonts w:cs="Times New Roman"/>
        </w:rPr>
        <w:t xml:space="preserve">. Το ευρωπαϊκό πλαίσιο αυξάνει την αξία της εξοικονόμησης, όμως η συμβολή των </w:t>
      </w:r>
      <w:r w:rsidRPr="006944EE">
        <w:rPr>
          <w:rFonts w:cs="Times New Roman"/>
          <w:lang w:val="en-GB"/>
        </w:rPr>
        <w:t>WAPS</w:t>
      </w:r>
      <w:r w:rsidRPr="006944EE">
        <w:rPr>
          <w:rFonts w:cs="Times New Roman"/>
        </w:rPr>
        <w:t xml:space="preserve"> σε επίπεδο στόλου παραμένει περιορισμένη και τα εμπόδια υιοθέτησης </w:t>
      </w:r>
      <w:r w:rsidR="00EF4D36">
        <w:rPr>
          <w:rFonts w:cs="Times New Roman"/>
        </w:rPr>
        <w:t xml:space="preserve">αυτής της τεχνολογίας </w:t>
      </w:r>
      <w:r w:rsidRPr="006944EE">
        <w:rPr>
          <w:rFonts w:cs="Times New Roman"/>
        </w:rPr>
        <w:t xml:space="preserve">είναι </w:t>
      </w:r>
      <w:r w:rsidR="00EF4D36">
        <w:rPr>
          <w:rFonts w:cs="Times New Roman"/>
        </w:rPr>
        <w:t>τόσο</w:t>
      </w:r>
      <w:r w:rsidRPr="006944EE">
        <w:rPr>
          <w:rFonts w:cs="Times New Roman"/>
        </w:rPr>
        <w:t xml:space="preserve"> οργανωτικά όσο και τεχνικά. </w:t>
      </w:r>
      <w:r w:rsidR="00EF4D36">
        <w:rPr>
          <w:rFonts w:cs="Times New Roman"/>
        </w:rPr>
        <w:t>Ε</w:t>
      </w:r>
      <w:r w:rsidR="00EF4D36" w:rsidRPr="006944EE">
        <w:rPr>
          <w:rFonts w:cs="Times New Roman"/>
        </w:rPr>
        <w:t xml:space="preserve">πομένως </w:t>
      </w:r>
      <w:r w:rsidR="00EF4D36">
        <w:rPr>
          <w:rFonts w:cs="Times New Roman"/>
        </w:rPr>
        <w:t>τ</w:t>
      </w:r>
      <w:r w:rsidRPr="006944EE">
        <w:rPr>
          <w:rFonts w:cs="Times New Roman"/>
        </w:rPr>
        <w:t xml:space="preserve">α </w:t>
      </w:r>
      <w:r w:rsidRPr="006944EE">
        <w:rPr>
          <w:rFonts w:cs="Times New Roman"/>
          <w:lang w:val="en-GB"/>
        </w:rPr>
        <w:t>WAPS</w:t>
      </w:r>
      <w:r w:rsidRPr="006944EE">
        <w:rPr>
          <w:rFonts w:cs="Times New Roman"/>
        </w:rPr>
        <w:t xml:space="preserve"> αξιολογούνται ως συμπλήρωμα και όχι ως υποκατάστατο των εναλλακτικών καυσίμων.</w:t>
      </w:r>
    </w:p>
    <w:p w14:paraId="7A59E61A" w14:textId="41E872DE" w:rsidR="00C672B7" w:rsidRPr="001A4E66" w:rsidRDefault="00CD43A3" w:rsidP="00EF3EE0">
      <w:pPr>
        <w:spacing w:after="120" w:line="240" w:lineRule="auto"/>
        <w:jc w:val="both"/>
        <w:rPr>
          <w:rFonts w:cs="Times New Roman"/>
        </w:rPr>
      </w:pPr>
      <w:r w:rsidRPr="009D5E8D">
        <w:rPr>
          <w:rFonts w:cs="Times New Roman"/>
          <w:b/>
          <w:bCs/>
        </w:rPr>
        <w:t>Λέξεις</w:t>
      </w:r>
      <w:r w:rsidR="00063B35" w:rsidRPr="009D5E8D">
        <w:rPr>
          <w:rFonts w:cs="Times New Roman"/>
          <w:b/>
          <w:bCs/>
        </w:rPr>
        <w:t xml:space="preserve"> </w:t>
      </w:r>
      <w:r w:rsidR="00614869" w:rsidRPr="009D5E8D">
        <w:rPr>
          <w:rFonts w:cs="Times New Roman"/>
          <w:b/>
          <w:bCs/>
        </w:rPr>
        <w:t>Κλειδιά</w:t>
      </w:r>
      <w:r w:rsidR="009D5E8D" w:rsidRPr="009D5E8D">
        <w:rPr>
          <w:rFonts w:cs="Times New Roman"/>
          <w:b/>
          <w:bCs/>
        </w:rPr>
        <w:t>:</w:t>
      </w:r>
      <w:r w:rsidR="001A4E66">
        <w:rPr>
          <w:rFonts w:cs="Times New Roman"/>
          <w:b/>
          <w:bCs/>
        </w:rPr>
        <w:t xml:space="preserve"> </w:t>
      </w:r>
      <w:r w:rsidR="001A4E66" w:rsidRPr="001A4E66">
        <w:rPr>
          <w:rFonts w:cs="Times New Roman"/>
        </w:rPr>
        <w:t>αιολική υποβοήθηση της πρόωσης</w:t>
      </w:r>
      <w:r w:rsidR="00EF4D36">
        <w:rPr>
          <w:rFonts w:cs="Times New Roman"/>
        </w:rPr>
        <w:t xml:space="preserve"> (</w:t>
      </w:r>
      <w:r w:rsidR="001A4E66" w:rsidRPr="001A4E66">
        <w:rPr>
          <w:rFonts w:cs="Times New Roman"/>
        </w:rPr>
        <w:t>WAPS</w:t>
      </w:r>
      <w:r w:rsidR="00EF4D36">
        <w:rPr>
          <w:rFonts w:cs="Times New Roman"/>
        </w:rPr>
        <w:t>)</w:t>
      </w:r>
      <w:r w:rsidR="001A4E66" w:rsidRPr="001A4E66">
        <w:rPr>
          <w:rFonts w:cs="Times New Roman"/>
        </w:rPr>
        <w:t>, ιστία-</w:t>
      </w:r>
      <w:proofErr w:type="spellStart"/>
      <w:r w:rsidR="001A4E66" w:rsidRPr="001A4E66">
        <w:rPr>
          <w:rFonts w:cs="Times New Roman"/>
        </w:rPr>
        <w:t>ρότορες</w:t>
      </w:r>
      <w:proofErr w:type="spellEnd"/>
      <w:r w:rsidR="001A4E66" w:rsidRPr="001A4E66">
        <w:rPr>
          <w:rFonts w:cs="Times New Roman"/>
        </w:rPr>
        <w:t xml:space="preserve">, εξοικονόμηση καυσίμου, τεχνοοικονομική αξιολόγηση, περίοδος αποπληρωμής, EU ETS, </w:t>
      </w:r>
      <w:proofErr w:type="spellStart"/>
      <w:r w:rsidR="001A4E66" w:rsidRPr="001A4E66">
        <w:rPr>
          <w:rFonts w:cs="Times New Roman"/>
        </w:rPr>
        <w:t>FuelEU</w:t>
      </w:r>
      <w:proofErr w:type="spellEnd"/>
      <w:r w:rsidR="001A4E66" w:rsidRPr="001A4E66">
        <w:rPr>
          <w:rFonts w:cs="Times New Roman"/>
        </w:rPr>
        <w:t xml:space="preserve"> Maritime, IMO, </w:t>
      </w:r>
      <w:proofErr w:type="spellStart"/>
      <w:r w:rsidR="001A4E66" w:rsidRPr="001A4E66">
        <w:rPr>
          <w:rFonts w:cs="Times New Roman"/>
        </w:rPr>
        <w:t>απανθρακοποίηση</w:t>
      </w:r>
      <w:proofErr w:type="spellEnd"/>
      <w:r w:rsidR="001A4E66" w:rsidRPr="001A4E66">
        <w:rPr>
          <w:rFonts w:cs="Times New Roman"/>
        </w:rPr>
        <w:t xml:space="preserve"> της ναυτιλίας</w:t>
      </w:r>
      <w:r w:rsidR="00EF4D36">
        <w:rPr>
          <w:rFonts w:cs="Times New Roman"/>
        </w:rPr>
        <w:t>.</w:t>
      </w:r>
    </w:p>
    <w:p w14:paraId="79AAD011" w14:textId="77777777" w:rsidR="00C672B7" w:rsidRDefault="00C672B7" w:rsidP="00EF3EE0">
      <w:pPr>
        <w:spacing w:after="120" w:line="240" w:lineRule="auto"/>
        <w:jc w:val="both"/>
        <w:rPr>
          <w:rFonts w:cs="Times New Roman"/>
          <w:b/>
          <w:bCs/>
          <w:sz w:val="32"/>
          <w:szCs w:val="32"/>
        </w:rPr>
      </w:pPr>
    </w:p>
    <w:p w14:paraId="12E2D3A5" w14:textId="77777777" w:rsidR="00C672B7" w:rsidRDefault="00C672B7" w:rsidP="00EF3EE0">
      <w:pPr>
        <w:spacing w:after="120" w:line="240" w:lineRule="auto"/>
        <w:jc w:val="both"/>
        <w:rPr>
          <w:rFonts w:cs="Times New Roman"/>
          <w:b/>
          <w:bCs/>
          <w:sz w:val="32"/>
          <w:szCs w:val="32"/>
        </w:rPr>
      </w:pPr>
    </w:p>
    <w:p w14:paraId="3CA83FB5" w14:textId="77777777" w:rsidR="00C672B7" w:rsidRDefault="00C672B7" w:rsidP="00EF3EE0">
      <w:pPr>
        <w:spacing w:after="120" w:line="240" w:lineRule="auto"/>
        <w:jc w:val="both"/>
        <w:rPr>
          <w:rFonts w:cs="Times New Roman"/>
          <w:b/>
          <w:bCs/>
          <w:sz w:val="32"/>
          <w:szCs w:val="32"/>
        </w:rPr>
      </w:pPr>
    </w:p>
    <w:p w14:paraId="3EF967DE" w14:textId="77777777" w:rsidR="00C672B7" w:rsidRDefault="00C672B7" w:rsidP="00EF3EE0">
      <w:pPr>
        <w:spacing w:after="120" w:line="240" w:lineRule="auto"/>
        <w:jc w:val="both"/>
        <w:rPr>
          <w:rFonts w:cs="Times New Roman"/>
          <w:b/>
          <w:bCs/>
          <w:sz w:val="32"/>
          <w:szCs w:val="32"/>
        </w:rPr>
      </w:pPr>
    </w:p>
    <w:p w14:paraId="3C1515E8" w14:textId="77777777" w:rsidR="00C672B7" w:rsidRDefault="00C672B7" w:rsidP="00EF3EE0">
      <w:pPr>
        <w:spacing w:after="120" w:line="240" w:lineRule="auto"/>
        <w:jc w:val="both"/>
        <w:rPr>
          <w:rFonts w:cs="Times New Roman"/>
          <w:b/>
          <w:bCs/>
          <w:sz w:val="32"/>
          <w:szCs w:val="32"/>
        </w:rPr>
      </w:pPr>
    </w:p>
    <w:p w14:paraId="7367D656" w14:textId="77777777" w:rsidR="00C672B7" w:rsidRDefault="00C672B7" w:rsidP="00EF3EE0">
      <w:pPr>
        <w:spacing w:after="120" w:line="240" w:lineRule="auto"/>
        <w:jc w:val="both"/>
        <w:rPr>
          <w:rFonts w:cs="Times New Roman"/>
          <w:b/>
          <w:bCs/>
          <w:sz w:val="32"/>
          <w:szCs w:val="32"/>
        </w:rPr>
      </w:pPr>
    </w:p>
    <w:p w14:paraId="39E1EDFE" w14:textId="77777777" w:rsidR="00C672B7" w:rsidRDefault="00C672B7" w:rsidP="00EF3EE0">
      <w:pPr>
        <w:spacing w:after="120" w:line="240" w:lineRule="auto"/>
        <w:jc w:val="both"/>
        <w:rPr>
          <w:rFonts w:cs="Times New Roman"/>
          <w:b/>
          <w:bCs/>
          <w:sz w:val="32"/>
          <w:szCs w:val="32"/>
        </w:rPr>
      </w:pPr>
    </w:p>
    <w:p w14:paraId="18D6ED2E" w14:textId="77777777" w:rsidR="00C672B7" w:rsidRDefault="00C672B7" w:rsidP="00EF3EE0">
      <w:pPr>
        <w:spacing w:after="120" w:line="240" w:lineRule="auto"/>
        <w:jc w:val="both"/>
        <w:rPr>
          <w:rFonts w:cs="Times New Roman"/>
          <w:b/>
          <w:bCs/>
          <w:sz w:val="32"/>
          <w:szCs w:val="32"/>
        </w:rPr>
      </w:pPr>
    </w:p>
    <w:p w14:paraId="5D6C6E39" w14:textId="77777777" w:rsidR="00C672B7" w:rsidRDefault="00C672B7" w:rsidP="00EF3EE0">
      <w:pPr>
        <w:spacing w:after="120" w:line="240" w:lineRule="auto"/>
        <w:jc w:val="both"/>
        <w:rPr>
          <w:rFonts w:cs="Times New Roman"/>
          <w:b/>
          <w:bCs/>
          <w:sz w:val="32"/>
          <w:szCs w:val="32"/>
        </w:rPr>
      </w:pPr>
    </w:p>
    <w:p w14:paraId="1CF146AA" w14:textId="77777777" w:rsidR="00C672B7" w:rsidRDefault="00C672B7" w:rsidP="00EF3EE0">
      <w:pPr>
        <w:spacing w:after="120" w:line="240" w:lineRule="auto"/>
        <w:jc w:val="both"/>
        <w:rPr>
          <w:rFonts w:cs="Times New Roman"/>
          <w:b/>
          <w:bCs/>
          <w:sz w:val="32"/>
          <w:szCs w:val="32"/>
        </w:rPr>
      </w:pPr>
    </w:p>
    <w:p w14:paraId="3A18B7EE" w14:textId="77777777" w:rsidR="00C672B7" w:rsidRDefault="00C672B7" w:rsidP="00EF3EE0">
      <w:pPr>
        <w:spacing w:after="120" w:line="240" w:lineRule="auto"/>
        <w:jc w:val="both"/>
        <w:rPr>
          <w:rFonts w:cs="Times New Roman"/>
          <w:b/>
          <w:bCs/>
          <w:sz w:val="32"/>
          <w:szCs w:val="32"/>
        </w:rPr>
      </w:pPr>
    </w:p>
    <w:p w14:paraId="14B08033" w14:textId="77777777" w:rsidR="00C672B7" w:rsidRDefault="00C672B7" w:rsidP="00EF3EE0">
      <w:pPr>
        <w:spacing w:after="120" w:line="240" w:lineRule="auto"/>
        <w:jc w:val="both"/>
        <w:rPr>
          <w:rFonts w:cs="Times New Roman"/>
          <w:b/>
          <w:bCs/>
          <w:sz w:val="32"/>
          <w:szCs w:val="32"/>
        </w:rPr>
      </w:pPr>
    </w:p>
    <w:p w14:paraId="052D9DAD" w14:textId="77777777" w:rsidR="00C672B7" w:rsidRDefault="00C672B7" w:rsidP="00EF3EE0">
      <w:pPr>
        <w:spacing w:after="120" w:line="240" w:lineRule="auto"/>
        <w:jc w:val="both"/>
        <w:rPr>
          <w:rFonts w:cs="Times New Roman"/>
          <w:b/>
          <w:bCs/>
          <w:sz w:val="32"/>
          <w:szCs w:val="32"/>
        </w:rPr>
      </w:pPr>
    </w:p>
    <w:p w14:paraId="1313B86A" w14:textId="77777777" w:rsidR="00C672B7" w:rsidRDefault="00C672B7" w:rsidP="00EF3EE0">
      <w:pPr>
        <w:spacing w:after="120" w:line="240" w:lineRule="auto"/>
        <w:jc w:val="both"/>
        <w:rPr>
          <w:rFonts w:cs="Times New Roman"/>
          <w:b/>
          <w:bCs/>
          <w:sz w:val="32"/>
          <w:szCs w:val="32"/>
        </w:rPr>
      </w:pPr>
    </w:p>
    <w:p w14:paraId="0775C6A6" w14:textId="77777777" w:rsidR="00C672B7" w:rsidRDefault="00C672B7" w:rsidP="00EF3EE0">
      <w:pPr>
        <w:spacing w:after="120" w:line="240" w:lineRule="auto"/>
        <w:jc w:val="both"/>
        <w:rPr>
          <w:rFonts w:cs="Times New Roman"/>
          <w:b/>
          <w:bCs/>
          <w:sz w:val="32"/>
          <w:szCs w:val="32"/>
        </w:rPr>
      </w:pPr>
    </w:p>
    <w:p w14:paraId="14F61F92" w14:textId="77777777" w:rsidR="00C672B7" w:rsidRDefault="00C672B7" w:rsidP="00EF3EE0">
      <w:pPr>
        <w:spacing w:after="120" w:line="240" w:lineRule="auto"/>
        <w:jc w:val="both"/>
        <w:rPr>
          <w:rFonts w:cs="Times New Roman"/>
          <w:b/>
          <w:bCs/>
          <w:sz w:val="32"/>
          <w:szCs w:val="32"/>
        </w:rPr>
      </w:pPr>
    </w:p>
    <w:p w14:paraId="66E8D0AC" w14:textId="77777777" w:rsidR="00C672B7" w:rsidRDefault="00C672B7" w:rsidP="00EF3EE0">
      <w:pPr>
        <w:spacing w:after="120" w:line="240" w:lineRule="auto"/>
        <w:jc w:val="both"/>
        <w:rPr>
          <w:rFonts w:cs="Times New Roman"/>
          <w:b/>
          <w:bCs/>
          <w:sz w:val="32"/>
          <w:szCs w:val="32"/>
        </w:rPr>
      </w:pPr>
    </w:p>
    <w:p w14:paraId="12F4A98D" w14:textId="77777777" w:rsidR="00C672B7" w:rsidRDefault="00C672B7" w:rsidP="00EF3EE0">
      <w:pPr>
        <w:spacing w:after="120" w:line="240" w:lineRule="auto"/>
        <w:jc w:val="both"/>
        <w:rPr>
          <w:rFonts w:cs="Times New Roman"/>
          <w:b/>
          <w:bCs/>
          <w:sz w:val="32"/>
          <w:szCs w:val="32"/>
        </w:rPr>
      </w:pPr>
    </w:p>
    <w:p w14:paraId="166E1233" w14:textId="77777777" w:rsidR="00C672B7" w:rsidRDefault="00C672B7" w:rsidP="00EF3EE0">
      <w:pPr>
        <w:spacing w:after="120" w:line="240" w:lineRule="auto"/>
        <w:jc w:val="both"/>
        <w:rPr>
          <w:rFonts w:cs="Times New Roman"/>
          <w:b/>
          <w:bCs/>
          <w:sz w:val="32"/>
          <w:szCs w:val="32"/>
        </w:rPr>
      </w:pPr>
    </w:p>
    <w:p w14:paraId="48925FDB" w14:textId="77777777" w:rsidR="00C672B7" w:rsidRDefault="00C672B7" w:rsidP="00EF3EE0">
      <w:pPr>
        <w:spacing w:after="120" w:line="240" w:lineRule="auto"/>
        <w:jc w:val="both"/>
        <w:rPr>
          <w:rFonts w:cs="Times New Roman"/>
          <w:b/>
          <w:bCs/>
          <w:sz w:val="32"/>
          <w:szCs w:val="32"/>
        </w:rPr>
      </w:pPr>
    </w:p>
    <w:p w14:paraId="5D9DDF92" w14:textId="77777777" w:rsidR="00F13E92" w:rsidRDefault="00F13E92" w:rsidP="00EF3EE0">
      <w:pPr>
        <w:spacing w:after="120" w:line="240" w:lineRule="auto"/>
        <w:jc w:val="both"/>
        <w:rPr>
          <w:rFonts w:cs="Times New Roman"/>
          <w:b/>
          <w:bCs/>
          <w:sz w:val="32"/>
          <w:szCs w:val="32"/>
        </w:rPr>
      </w:pPr>
    </w:p>
    <w:p w14:paraId="10FEAFE2" w14:textId="77777777" w:rsidR="00F13E92" w:rsidRDefault="00F13E92" w:rsidP="00EF3EE0">
      <w:pPr>
        <w:spacing w:after="120" w:line="240" w:lineRule="auto"/>
        <w:jc w:val="both"/>
        <w:rPr>
          <w:rFonts w:cs="Times New Roman"/>
          <w:b/>
          <w:bCs/>
          <w:sz w:val="32"/>
          <w:szCs w:val="32"/>
        </w:rPr>
      </w:pPr>
    </w:p>
    <w:p w14:paraId="56815F22" w14:textId="77777777" w:rsidR="00F13E92" w:rsidRDefault="00F13E92" w:rsidP="00EF3EE0">
      <w:pPr>
        <w:spacing w:after="120" w:line="240" w:lineRule="auto"/>
        <w:jc w:val="both"/>
        <w:rPr>
          <w:rFonts w:cs="Times New Roman"/>
          <w:b/>
          <w:bCs/>
          <w:sz w:val="32"/>
          <w:szCs w:val="32"/>
        </w:rPr>
      </w:pPr>
    </w:p>
    <w:p w14:paraId="6AF0C253" w14:textId="77777777" w:rsidR="00F13E92" w:rsidRDefault="00F13E92" w:rsidP="00EF3EE0">
      <w:pPr>
        <w:spacing w:after="120" w:line="240" w:lineRule="auto"/>
        <w:jc w:val="both"/>
        <w:rPr>
          <w:rFonts w:cs="Times New Roman"/>
          <w:b/>
          <w:bCs/>
          <w:sz w:val="32"/>
          <w:szCs w:val="32"/>
        </w:rPr>
      </w:pPr>
    </w:p>
    <w:p w14:paraId="29BF8A55" w14:textId="77777777" w:rsidR="00F13E92" w:rsidRDefault="00F13E92" w:rsidP="00EF3EE0">
      <w:pPr>
        <w:spacing w:after="120" w:line="240" w:lineRule="auto"/>
        <w:jc w:val="both"/>
        <w:rPr>
          <w:rFonts w:cs="Times New Roman"/>
          <w:b/>
          <w:bCs/>
          <w:sz w:val="32"/>
          <w:szCs w:val="32"/>
        </w:rPr>
      </w:pPr>
    </w:p>
    <w:p w14:paraId="651FE679" w14:textId="77777777" w:rsidR="00F13E92" w:rsidRDefault="00F13E92" w:rsidP="00EF3EE0">
      <w:pPr>
        <w:spacing w:after="120" w:line="240" w:lineRule="auto"/>
        <w:jc w:val="both"/>
        <w:rPr>
          <w:rFonts w:cs="Times New Roman"/>
          <w:b/>
          <w:bCs/>
          <w:sz w:val="32"/>
          <w:szCs w:val="32"/>
        </w:rPr>
      </w:pPr>
    </w:p>
    <w:p w14:paraId="1D067795" w14:textId="77777777" w:rsidR="00F13E92" w:rsidRDefault="00F13E92" w:rsidP="00EF3EE0">
      <w:pPr>
        <w:spacing w:after="120" w:line="240" w:lineRule="auto"/>
        <w:jc w:val="both"/>
        <w:rPr>
          <w:rFonts w:cs="Times New Roman"/>
          <w:b/>
          <w:bCs/>
          <w:sz w:val="32"/>
          <w:szCs w:val="32"/>
        </w:rPr>
      </w:pPr>
    </w:p>
    <w:p w14:paraId="06DDF78E" w14:textId="77777777" w:rsidR="00F13E92" w:rsidRDefault="00F13E92" w:rsidP="00EF3EE0">
      <w:pPr>
        <w:spacing w:after="120" w:line="240" w:lineRule="auto"/>
        <w:jc w:val="both"/>
        <w:rPr>
          <w:rFonts w:cs="Times New Roman"/>
          <w:b/>
          <w:bCs/>
          <w:sz w:val="32"/>
          <w:szCs w:val="32"/>
        </w:rPr>
      </w:pPr>
    </w:p>
    <w:p w14:paraId="10BB196D" w14:textId="77777777" w:rsidR="00F13E92" w:rsidRDefault="00F13E92" w:rsidP="00EF3EE0">
      <w:pPr>
        <w:spacing w:after="120" w:line="240" w:lineRule="auto"/>
        <w:jc w:val="both"/>
        <w:rPr>
          <w:rFonts w:cs="Times New Roman"/>
          <w:b/>
          <w:bCs/>
          <w:sz w:val="32"/>
          <w:szCs w:val="32"/>
        </w:rPr>
      </w:pPr>
    </w:p>
    <w:p w14:paraId="69E3105D" w14:textId="77777777" w:rsidR="000A3C24" w:rsidRPr="000A3C24" w:rsidRDefault="000A3C24">
      <w:pPr>
        <w:rPr>
          <w:rFonts w:cs="Times New Roman"/>
          <w:b/>
          <w:bCs/>
          <w:sz w:val="28"/>
          <w:szCs w:val="28"/>
        </w:rPr>
      </w:pPr>
      <w:r w:rsidRPr="000A3C24">
        <w:rPr>
          <w:rFonts w:cs="Times New Roman"/>
          <w:b/>
          <w:bCs/>
          <w:sz w:val="28"/>
          <w:szCs w:val="28"/>
        </w:rPr>
        <w:br w:type="page"/>
      </w:r>
    </w:p>
    <w:p w14:paraId="2D7345EA" w14:textId="4B7F3362" w:rsidR="00F13E92" w:rsidRDefault="00F13E92" w:rsidP="00F13E92">
      <w:pPr>
        <w:spacing w:after="120" w:line="240" w:lineRule="auto"/>
        <w:jc w:val="center"/>
        <w:rPr>
          <w:rFonts w:cs="Times New Roman"/>
          <w:b/>
          <w:bCs/>
          <w:sz w:val="28"/>
          <w:szCs w:val="28"/>
          <w:lang w:val="en-US"/>
        </w:rPr>
      </w:pPr>
      <w:r>
        <w:rPr>
          <w:rFonts w:cs="Times New Roman"/>
          <w:b/>
          <w:bCs/>
          <w:sz w:val="28"/>
          <w:szCs w:val="28"/>
          <w:lang w:val="en-US"/>
        </w:rPr>
        <w:lastRenderedPageBreak/>
        <w:t>Abstract</w:t>
      </w:r>
    </w:p>
    <w:p w14:paraId="0997D492" w14:textId="2034BEC0" w:rsidR="00F13E92" w:rsidRPr="00F13E92" w:rsidRDefault="00F13E92" w:rsidP="00F13E92">
      <w:pPr>
        <w:spacing w:after="120" w:line="360" w:lineRule="auto"/>
        <w:jc w:val="both"/>
        <w:rPr>
          <w:rFonts w:cs="Times New Roman"/>
          <w:lang w:val="en-GB"/>
        </w:rPr>
      </w:pPr>
      <w:r w:rsidRPr="00F13E92">
        <w:rPr>
          <w:rFonts w:cs="Times New Roman"/>
          <w:lang w:val="en-GB"/>
        </w:rPr>
        <w:t xml:space="preserve">Shipping </w:t>
      </w:r>
      <w:r w:rsidR="009C5854">
        <w:rPr>
          <w:rFonts w:cs="Times New Roman"/>
          <w:lang w:val="en-US"/>
        </w:rPr>
        <w:t>ensures transportation of</w:t>
      </w:r>
      <w:r w:rsidRPr="00F13E92">
        <w:rPr>
          <w:rFonts w:cs="Times New Roman"/>
          <w:lang w:val="en-GB"/>
        </w:rPr>
        <w:t xml:space="preserve"> more than 80% of world trade by volume and accounts for about 3% of anthropogenic greenhouse gas emissions. The International Maritime Organization (IMO) has set a target of net-zero emissions </w:t>
      </w:r>
      <w:r w:rsidR="009C5854">
        <w:rPr>
          <w:rFonts w:cs="Times New Roman"/>
          <w:lang w:val="en-GB"/>
        </w:rPr>
        <w:t>till</w:t>
      </w:r>
      <w:r w:rsidRPr="00F13E92">
        <w:rPr>
          <w:rFonts w:cs="Times New Roman"/>
          <w:lang w:val="en-GB"/>
        </w:rPr>
        <w:t xml:space="preserve"> 2050, while in Europe</w:t>
      </w:r>
      <w:r w:rsidR="009C5854">
        <w:rPr>
          <w:rFonts w:cs="Times New Roman"/>
          <w:lang w:val="en-GB"/>
        </w:rPr>
        <w:t xml:space="preserve"> towards this perspective have already been applied</w:t>
      </w:r>
      <w:r w:rsidRPr="00F13E92">
        <w:rPr>
          <w:rFonts w:cs="Times New Roman"/>
          <w:lang w:val="en-GB"/>
        </w:rPr>
        <w:t xml:space="preserve"> the MRV system, the EU Emissions Trading System (EU ETS) and the </w:t>
      </w:r>
      <w:proofErr w:type="spellStart"/>
      <w:r w:rsidRPr="00F13E92">
        <w:rPr>
          <w:rFonts w:cs="Times New Roman"/>
          <w:lang w:val="en-GB"/>
        </w:rPr>
        <w:t>FuelEU</w:t>
      </w:r>
      <w:proofErr w:type="spellEnd"/>
      <w:r w:rsidRPr="00F13E92">
        <w:rPr>
          <w:rFonts w:cs="Times New Roman"/>
          <w:lang w:val="en-GB"/>
        </w:rPr>
        <w:t xml:space="preserve"> Maritime regulation. Alternative fuels remain expensive and limited in availability, </w:t>
      </w:r>
      <w:r w:rsidR="004C38F3">
        <w:rPr>
          <w:rFonts w:cs="Times New Roman"/>
          <w:lang w:val="en-US"/>
        </w:rPr>
        <w:t>and to that respect,</w:t>
      </w:r>
      <w:r w:rsidRPr="00F13E92">
        <w:rPr>
          <w:rFonts w:cs="Times New Roman"/>
          <w:lang w:val="en-GB"/>
        </w:rPr>
        <w:t xml:space="preserve"> reducing fuel consumption remains </w:t>
      </w:r>
      <w:r w:rsidR="004C38F3">
        <w:rPr>
          <w:rFonts w:cs="Times New Roman"/>
          <w:lang w:val="en-GB"/>
        </w:rPr>
        <w:t xml:space="preserve">primary </w:t>
      </w:r>
      <w:r w:rsidRPr="00F13E92">
        <w:rPr>
          <w:rFonts w:cs="Times New Roman"/>
          <w:lang w:val="en-GB"/>
        </w:rPr>
        <w:t>necess</w:t>
      </w:r>
      <w:r w:rsidR="004C38F3">
        <w:rPr>
          <w:rFonts w:cs="Times New Roman"/>
          <w:lang w:val="en-GB"/>
        </w:rPr>
        <w:t>ity</w:t>
      </w:r>
      <w:r w:rsidRPr="00F13E92">
        <w:rPr>
          <w:rFonts w:cs="Times New Roman"/>
          <w:lang w:val="en-GB"/>
        </w:rPr>
        <w:t xml:space="preserve">. In this context, the thesis examines wind-assisted propulsion systems (WAPS), which use the wind directly as thrust </w:t>
      </w:r>
      <w:proofErr w:type="gramStart"/>
      <w:r w:rsidR="004C38F3">
        <w:rPr>
          <w:rFonts w:cs="Times New Roman"/>
          <w:lang w:val="en-GB"/>
        </w:rPr>
        <w:t>in order to</w:t>
      </w:r>
      <w:proofErr w:type="gramEnd"/>
      <w:r w:rsidRPr="00F13E92">
        <w:rPr>
          <w:rFonts w:cs="Times New Roman"/>
          <w:lang w:val="en-GB"/>
        </w:rPr>
        <w:t xml:space="preserve"> reduce the power</w:t>
      </w:r>
      <w:r w:rsidR="004C38F3">
        <w:rPr>
          <w:rFonts w:cs="Times New Roman"/>
          <w:lang w:val="en-GB"/>
        </w:rPr>
        <w:t xml:space="preserve"> provided by</w:t>
      </w:r>
      <w:r w:rsidRPr="00F13E92">
        <w:rPr>
          <w:rFonts w:cs="Times New Roman"/>
          <w:lang w:val="en-GB"/>
        </w:rPr>
        <w:t xml:space="preserve"> the main engine.</w:t>
      </w:r>
      <w:r>
        <w:rPr>
          <w:rFonts w:cs="Times New Roman"/>
          <w:lang w:val="en-GB"/>
        </w:rPr>
        <w:t xml:space="preserve"> </w:t>
      </w:r>
      <w:r w:rsidRPr="00F13E92">
        <w:rPr>
          <w:rFonts w:cs="Times New Roman"/>
          <w:lang w:val="en-GB"/>
        </w:rPr>
        <w:t xml:space="preserve">The aim is to assess WAPS as a means of improving the energy and environmental performance of </w:t>
      </w:r>
      <w:r w:rsidR="004C38F3">
        <w:rPr>
          <w:rFonts w:cs="Times New Roman"/>
          <w:lang w:val="en-GB"/>
        </w:rPr>
        <w:t xml:space="preserve">commercial </w:t>
      </w:r>
      <w:r w:rsidRPr="00F13E92">
        <w:rPr>
          <w:rFonts w:cs="Times New Roman"/>
          <w:lang w:val="en-GB"/>
        </w:rPr>
        <w:t>ships, based on the literature and publicly available data.</w:t>
      </w:r>
      <w:r>
        <w:rPr>
          <w:rFonts w:cs="Times New Roman"/>
          <w:lang w:val="en-GB"/>
        </w:rPr>
        <w:t xml:space="preserve"> </w:t>
      </w:r>
      <w:r w:rsidRPr="00F13E92">
        <w:rPr>
          <w:rFonts w:cs="Times New Roman"/>
          <w:lang w:val="en-GB"/>
        </w:rPr>
        <w:t xml:space="preserve">The thesis describes </w:t>
      </w:r>
      <w:r w:rsidR="004C38F3">
        <w:rPr>
          <w:rFonts w:cs="Times New Roman"/>
          <w:lang w:val="en-GB"/>
        </w:rPr>
        <w:t xml:space="preserve">in a first step </w:t>
      </w:r>
      <w:r w:rsidRPr="00F13E92">
        <w:rPr>
          <w:rFonts w:cs="Times New Roman"/>
          <w:lang w:val="en-GB"/>
        </w:rPr>
        <w:t>the types of WAPS and the factors determin</w:t>
      </w:r>
      <w:r w:rsidR="005D3E74">
        <w:rPr>
          <w:rFonts w:cs="Times New Roman"/>
          <w:lang w:val="en-GB"/>
        </w:rPr>
        <w:t>ing</w:t>
      </w:r>
      <w:r w:rsidRPr="00F13E92">
        <w:rPr>
          <w:rFonts w:cs="Times New Roman"/>
          <w:lang w:val="en-GB"/>
        </w:rPr>
        <w:t xml:space="preserve"> their performance, and </w:t>
      </w:r>
      <w:r w:rsidR="005D3E74">
        <w:rPr>
          <w:rFonts w:cs="Times New Roman"/>
          <w:lang w:val="en-GB"/>
        </w:rPr>
        <w:t xml:space="preserve">in a next step </w:t>
      </w:r>
      <w:r w:rsidRPr="00F13E92">
        <w:rPr>
          <w:rFonts w:cs="Times New Roman"/>
          <w:lang w:val="en-GB"/>
        </w:rPr>
        <w:t xml:space="preserve">examines costs, fuel savings and the economic indicators used in the literature. </w:t>
      </w:r>
      <w:r w:rsidR="005D3E74">
        <w:rPr>
          <w:rFonts w:cs="Times New Roman"/>
          <w:lang w:val="en-GB"/>
        </w:rPr>
        <w:t>Then</w:t>
      </w:r>
      <w:r w:rsidR="0063170E" w:rsidRPr="0063170E">
        <w:rPr>
          <w:rFonts w:cs="Times New Roman"/>
          <w:lang w:val="en-US"/>
        </w:rPr>
        <w:t>,</w:t>
      </w:r>
      <w:r w:rsidR="005D3E74">
        <w:rPr>
          <w:rFonts w:cs="Times New Roman"/>
          <w:lang w:val="en-GB"/>
        </w:rPr>
        <w:t xml:space="preserve"> the</w:t>
      </w:r>
      <w:r w:rsidRPr="00F13E92">
        <w:rPr>
          <w:rFonts w:cs="Times New Roman"/>
          <w:lang w:val="en-GB"/>
        </w:rPr>
        <w:t xml:space="preserve"> European emissions (144.9 million tonnes of CO₂ in 2024), the European and IMO regulations</w:t>
      </w:r>
      <w:r w:rsidR="005D3E74">
        <w:rPr>
          <w:rFonts w:cs="Times New Roman"/>
          <w:lang w:val="en-GB"/>
        </w:rPr>
        <w:t xml:space="preserve"> are presented</w:t>
      </w:r>
      <w:r w:rsidRPr="00F13E92">
        <w:rPr>
          <w:rFonts w:cs="Times New Roman"/>
          <w:lang w:val="en-GB"/>
        </w:rPr>
        <w:t xml:space="preserve">, </w:t>
      </w:r>
      <w:r w:rsidR="005D3E74">
        <w:rPr>
          <w:rFonts w:cs="Times New Roman"/>
          <w:lang w:val="en-GB"/>
        </w:rPr>
        <w:t>while</w:t>
      </w:r>
      <w:r w:rsidRPr="00F13E92">
        <w:rPr>
          <w:rFonts w:cs="Times New Roman"/>
          <w:lang w:val="en-GB"/>
        </w:rPr>
        <w:t xml:space="preserve"> illustrative calculations of </w:t>
      </w:r>
      <w:r w:rsidR="005D3E74">
        <w:rPr>
          <w:rFonts w:cs="Times New Roman"/>
          <w:lang w:val="en-GB"/>
        </w:rPr>
        <w:t xml:space="preserve">the resulting </w:t>
      </w:r>
      <w:r w:rsidRPr="00F13E92">
        <w:rPr>
          <w:rFonts w:cs="Times New Roman"/>
          <w:lang w:val="en-GB"/>
        </w:rPr>
        <w:t xml:space="preserve">change </w:t>
      </w:r>
      <w:r w:rsidR="005D3E74">
        <w:rPr>
          <w:rFonts w:cs="Times New Roman"/>
          <w:lang w:val="en-GB"/>
        </w:rPr>
        <w:t xml:space="preserve">of </w:t>
      </w:r>
      <w:r w:rsidRPr="00F13E92">
        <w:rPr>
          <w:rFonts w:cs="Times New Roman"/>
          <w:lang w:val="en-GB"/>
        </w:rPr>
        <w:t>the value of fuel savings</w:t>
      </w:r>
      <w:r w:rsidR="0063170E" w:rsidRPr="0063170E">
        <w:rPr>
          <w:rFonts w:cs="Times New Roman"/>
          <w:lang w:val="en-US"/>
        </w:rPr>
        <w:t xml:space="preserve"> </w:t>
      </w:r>
      <w:r w:rsidR="0063170E">
        <w:rPr>
          <w:rFonts w:cs="Times New Roman"/>
          <w:lang w:val="en-US"/>
        </w:rPr>
        <w:t>are undertaken</w:t>
      </w:r>
      <w:r w:rsidRPr="00F13E92">
        <w:rPr>
          <w:rFonts w:cs="Times New Roman"/>
          <w:lang w:val="en-GB"/>
        </w:rPr>
        <w:t xml:space="preserve">. </w:t>
      </w:r>
      <w:r w:rsidR="0063170E">
        <w:rPr>
          <w:rFonts w:cs="Times New Roman"/>
          <w:lang w:val="en-GB"/>
        </w:rPr>
        <w:t>Finally,</w:t>
      </w:r>
      <w:r w:rsidRPr="00F13E92">
        <w:rPr>
          <w:rFonts w:cs="Times New Roman"/>
          <w:lang w:val="en-GB"/>
        </w:rPr>
        <w:t xml:space="preserve"> </w:t>
      </w:r>
      <w:r w:rsidR="0063170E">
        <w:rPr>
          <w:rFonts w:cs="Times New Roman"/>
          <w:lang w:val="en-GB"/>
        </w:rPr>
        <w:t>evaluation of the findings</w:t>
      </w:r>
      <w:r w:rsidRPr="00F13E92">
        <w:rPr>
          <w:rFonts w:cs="Times New Roman"/>
          <w:lang w:val="en-GB"/>
        </w:rPr>
        <w:t>, conclusions and proposals for future research</w:t>
      </w:r>
      <w:r w:rsidR="0063170E">
        <w:rPr>
          <w:rFonts w:cs="Times New Roman"/>
          <w:lang w:val="en-GB"/>
        </w:rPr>
        <w:t xml:space="preserve"> are reported</w:t>
      </w:r>
      <w:r w:rsidRPr="00F13E92">
        <w:rPr>
          <w:rFonts w:cs="Times New Roman"/>
          <w:lang w:val="en-GB"/>
        </w:rPr>
        <w:t>.</w:t>
      </w:r>
      <w:r>
        <w:rPr>
          <w:rFonts w:cs="Times New Roman"/>
          <w:lang w:val="en-GB"/>
        </w:rPr>
        <w:t xml:space="preserve"> </w:t>
      </w:r>
      <w:r w:rsidRPr="00F13E92">
        <w:rPr>
          <w:rFonts w:cs="Times New Roman"/>
          <w:lang w:val="en-GB"/>
        </w:rPr>
        <w:t xml:space="preserve">The results show that the fuel savings of WAPS are of the order of a </w:t>
      </w:r>
      <w:r w:rsidR="0063170E">
        <w:rPr>
          <w:rFonts w:cs="Times New Roman"/>
          <w:lang w:val="en-GB"/>
        </w:rPr>
        <w:t>relatively small</w:t>
      </w:r>
      <w:r w:rsidRPr="00F13E92">
        <w:rPr>
          <w:rFonts w:cs="Times New Roman"/>
          <w:lang w:val="en-GB"/>
        </w:rPr>
        <w:t xml:space="preserve"> percentage (typically 4–15% for rotor sails) and depend more on the wind, the </w:t>
      </w:r>
      <w:r w:rsidR="0063170E">
        <w:rPr>
          <w:rFonts w:cs="Times New Roman"/>
          <w:lang w:val="en-GB"/>
        </w:rPr>
        <w:t>trip trajectory</w:t>
      </w:r>
      <w:r w:rsidRPr="00F13E92">
        <w:rPr>
          <w:rFonts w:cs="Times New Roman"/>
          <w:lang w:val="en-GB"/>
        </w:rPr>
        <w:t xml:space="preserve">, the ship type and the speed than on the technology </w:t>
      </w:r>
      <w:r w:rsidR="0063170E">
        <w:rPr>
          <w:rFonts w:cs="Times New Roman"/>
          <w:lang w:val="en-GB"/>
        </w:rPr>
        <w:t>implemented</w:t>
      </w:r>
      <w:r w:rsidRPr="00F13E92">
        <w:rPr>
          <w:rFonts w:cs="Times New Roman"/>
          <w:lang w:val="en-GB"/>
        </w:rPr>
        <w:t xml:space="preserve">. The European framework increases the value of the savings, but the contribution of WAPS at fleet level remains limited, </w:t>
      </w:r>
      <w:r w:rsidR="00C52635">
        <w:rPr>
          <w:rFonts w:cs="Times New Roman"/>
          <w:lang w:val="en-GB"/>
        </w:rPr>
        <w:t>while</w:t>
      </w:r>
      <w:r w:rsidRPr="00F13E92">
        <w:rPr>
          <w:rFonts w:cs="Times New Roman"/>
          <w:lang w:val="en-GB"/>
        </w:rPr>
        <w:t xml:space="preserve"> the </w:t>
      </w:r>
      <w:r w:rsidR="00C52635">
        <w:rPr>
          <w:rFonts w:cs="Times New Roman"/>
          <w:lang w:val="en-GB"/>
        </w:rPr>
        <w:t xml:space="preserve">existing </w:t>
      </w:r>
      <w:r w:rsidRPr="00F13E92">
        <w:rPr>
          <w:rFonts w:cs="Times New Roman"/>
          <w:lang w:val="en-GB"/>
        </w:rPr>
        <w:t xml:space="preserve">barriers to adopt </w:t>
      </w:r>
      <w:r w:rsidR="00C52635">
        <w:rPr>
          <w:rFonts w:cs="Times New Roman"/>
          <w:lang w:val="en-GB"/>
        </w:rPr>
        <w:t xml:space="preserve">such a technology </w:t>
      </w:r>
      <w:r w:rsidRPr="00F13E92">
        <w:rPr>
          <w:rFonts w:cs="Times New Roman"/>
          <w:lang w:val="en-GB"/>
        </w:rPr>
        <w:t xml:space="preserve">are </w:t>
      </w:r>
      <w:r w:rsidR="00C52635">
        <w:rPr>
          <w:rFonts w:cs="Times New Roman"/>
          <w:lang w:val="en-GB"/>
        </w:rPr>
        <w:t xml:space="preserve">both </w:t>
      </w:r>
      <w:r w:rsidRPr="00F13E92">
        <w:rPr>
          <w:rFonts w:cs="Times New Roman"/>
          <w:lang w:val="en-GB"/>
        </w:rPr>
        <w:t xml:space="preserve">organisational </w:t>
      </w:r>
      <w:r w:rsidR="00C52635">
        <w:rPr>
          <w:rFonts w:cs="Times New Roman"/>
          <w:lang w:val="en-GB"/>
        </w:rPr>
        <w:t>and</w:t>
      </w:r>
      <w:r w:rsidRPr="00F13E92">
        <w:rPr>
          <w:rFonts w:cs="Times New Roman"/>
          <w:lang w:val="en-GB"/>
        </w:rPr>
        <w:t xml:space="preserve"> technical. WAPS are therefore assessed </w:t>
      </w:r>
      <w:r w:rsidR="00C52635" w:rsidRPr="00F13E92">
        <w:rPr>
          <w:rFonts w:cs="Times New Roman"/>
          <w:lang w:val="en-GB"/>
        </w:rPr>
        <w:t xml:space="preserve">rather </w:t>
      </w:r>
      <w:r w:rsidRPr="00F13E92">
        <w:rPr>
          <w:rFonts w:cs="Times New Roman"/>
          <w:lang w:val="en-GB"/>
        </w:rPr>
        <w:t xml:space="preserve">as a complement than a substitute </w:t>
      </w:r>
      <w:r w:rsidR="00C52635">
        <w:rPr>
          <w:rFonts w:cs="Times New Roman"/>
          <w:lang w:val="en-GB"/>
        </w:rPr>
        <w:t>of</w:t>
      </w:r>
      <w:r w:rsidRPr="00F13E92">
        <w:rPr>
          <w:rFonts w:cs="Times New Roman"/>
          <w:lang w:val="en-GB"/>
        </w:rPr>
        <w:t xml:space="preserve"> alternative fuels.</w:t>
      </w:r>
    </w:p>
    <w:p w14:paraId="2A07D625" w14:textId="0D9B8C44" w:rsidR="00F13E92" w:rsidRPr="00462D81" w:rsidRDefault="001B3D4D" w:rsidP="00F13E92">
      <w:pPr>
        <w:spacing w:after="120" w:line="240" w:lineRule="auto"/>
        <w:jc w:val="both"/>
        <w:rPr>
          <w:rFonts w:cs="Times New Roman"/>
          <w:sz w:val="28"/>
          <w:szCs w:val="28"/>
          <w:lang w:val="en-GB"/>
        </w:rPr>
      </w:pPr>
      <w:r w:rsidRPr="00462D81">
        <w:rPr>
          <w:rFonts w:cs="Times New Roman"/>
          <w:b/>
          <w:bCs/>
          <w:lang w:val="en-GB"/>
        </w:rPr>
        <w:t>Key words:</w:t>
      </w:r>
      <w:r w:rsidR="00462D81" w:rsidRPr="00462D81">
        <w:rPr>
          <w:rFonts w:cs="Times New Roman"/>
          <w:lang w:val="en-GB"/>
        </w:rPr>
        <w:t xml:space="preserve"> wind-assisted ship propulsion</w:t>
      </w:r>
      <w:r w:rsidR="00C52635">
        <w:rPr>
          <w:rFonts w:cs="Times New Roman"/>
          <w:lang w:val="en-GB"/>
        </w:rPr>
        <w:t xml:space="preserve"> (</w:t>
      </w:r>
      <w:r w:rsidR="00462D81" w:rsidRPr="00462D81">
        <w:rPr>
          <w:rFonts w:cs="Times New Roman"/>
          <w:lang w:val="en-GB"/>
        </w:rPr>
        <w:t>WAPS</w:t>
      </w:r>
      <w:r w:rsidR="00C52635">
        <w:rPr>
          <w:rFonts w:cs="Times New Roman"/>
          <w:lang w:val="en-GB"/>
        </w:rPr>
        <w:t>)</w:t>
      </w:r>
      <w:r w:rsidR="00462D81" w:rsidRPr="00462D81">
        <w:rPr>
          <w:rFonts w:cs="Times New Roman"/>
          <w:lang w:val="en-GB"/>
        </w:rPr>
        <w:t xml:space="preserve">, rotor sails, fuel savings, techno-economic assessment, payback period, EU ETS, </w:t>
      </w:r>
      <w:proofErr w:type="spellStart"/>
      <w:r w:rsidR="00462D81" w:rsidRPr="00462D81">
        <w:rPr>
          <w:rFonts w:cs="Times New Roman"/>
          <w:lang w:val="en-GB"/>
        </w:rPr>
        <w:t>FuelEU</w:t>
      </w:r>
      <w:proofErr w:type="spellEnd"/>
      <w:r w:rsidR="00462D81" w:rsidRPr="00462D81">
        <w:rPr>
          <w:rFonts w:cs="Times New Roman"/>
          <w:lang w:val="en-GB"/>
        </w:rPr>
        <w:t xml:space="preserve"> Maritime, IMO, shipping decarbonisation</w:t>
      </w:r>
      <w:r w:rsidR="00C52635">
        <w:rPr>
          <w:rFonts w:cs="Times New Roman"/>
          <w:lang w:val="en-GB"/>
        </w:rPr>
        <w:t>.</w:t>
      </w:r>
    </w:p>
    <w:p w14:paraId="5B1FD862" w14:textId="77777777" w:rsidR="00F13E92" w:rsidRPr="00F13E92" w:rsidRDefault="00F13E92" w:rsidP="00EF3EE0">
      <w:pPr>
        <w:spacing w:after="120" w:line="240" w:lineRule="auto"/>
        <w:jc w:val="both"/>
        <w:rPr>
          <w:rFonts w:cs="Times New Roman"/>
          <w:b/>
          <w:bCs/>
          <w:sz w:val="32"/>
          <w:szCs w:val="32"/>
          <w:lang w:val="en-GB"/>
        </w:rPr>
      </w:pPr>
    </w:p>
    <w:p w14:paraId="44C9F13C" w14:textId="77777777" w:rsidR="00F13E92" w:rsidRPr="00F13E92" w:rsidRDefault="00F13E92" w:rsidP="00EF3EE0">
      <w:pPr>
        <w:spacing w:after="120" w:line="240" w:lineRule="auto"/>
        <w:jc w:val="both"/>
        <w:rPr>
          <w:rFonts w:cs="Times New Roman"/>
          <w:b/>
          <w:bCs/>
          <w:sz w:val="32"/>
          <w:szCs w:val="32"/>
          <w:lang w:val="en-GB"/>
        </w:rPr>
      </w:pPr>
    </w:p>
    <w:p w14:paraId="18B3104E" w14:textId="77777777" w:rsidR="00F13E92" w:rsidRPr="00F13E92" w:rsidRDefault="00F13E92" w:rsidP="00EF3EE0">
      <w:pPr>
        <w:spacing w:after="120" w:line="240" w:lineRule="auto"/>
        <w:jc w:val="both"/>
        <w:rPr>
          <w:rFonts w:cs="Times New Roman"/>
          <w:b/>
          <w:bCs/>
          <w:sz w:val="32"/>
          <w:szCs w:val="32"/>
          <w:lang w:val="en-GB"/>
        </w:rPr>
      </w:pPr>
    </w:p>
    <w:p w14:paraId="1835CED8" w14:textId="77777777" w:rsidR="00F13E92" w:rsidRPr="00F13E92" w:rsidRDefault="00F13E92" w:rsidP="00EF3EE0">
      <w:pPr>
        <w:spacing w:after="120" w:line="240" w:lineRule="auto"/>
        <w:jc w:val="both"/>
        <w:rPr>
          <w:rFonts w:cs="Times New Roman"/>
          <w:b/>
          <w:bCs/>
          <w:sz w:val="32"/>
          <w:szCs w:val="32"/>
          <w:lang w:val="en-GB"/>
        </w:rPr>
      </w:pPr>
    </w:p>
    <w:p w14:paraId="17400E0A" w14:textId="77777777" w:rsidR="00F13E92" w:rsidRPr="00F13E92" w:rsidRDefault="00F13E92" w:rsidP="00EF3EE0">
      <w:pPr>
        <w:spacing w:after="120" w:line="240" w:lineRule="auto"/>
        <w:jc w:val="both"/>
        <w:rPr>
          <w:rFonts w:cs="Times New Roman"/>
          <w:b/>
          <w:bCs/>
          <w:sz w:val="32"/>
          <w:szCs w:val="32"/>
          <w:lang w:val="en-GB"/>
        </w:rPr>
      </w:pPr>
    </w:p>
    <w:p w14:paraId="09583E3E" w14:textId="77777777" w:rsidR="00F13E92" w:rsidRPr="00F13E92" w:rsidRDefault="00F13E92" w:rsidP="00EF3EE0">
      <w:pPr>
        <w:spacing w:after="120" w:line="240" w:lineRule="auto"/>
        <w:jc w:val="both"/>
        <w:rPr>
          <w:rFonts w:cs="Times New Roman"/>
          <w:b/>
          <w:bCs/>
          <w:sz w:val="32"/>
          <w:szCs w:val="32"/>
          <w:lang w:val="en-GB"/>
        </w:rPr>
      </w:pPr>
    </w:p>
    <w:p w14:paraId="74D539C5" w14:textId="77777777" w:rsidR="00F13E92" w:rsidRPr="00F13E92" w:rsidRDefault="00F13E92" w:rsidP="00EF3EE0">
      <w:pPr>
        <w:spacing w:after="120" w:line="240" w:lineRule="auto"/>
        <w:jc w:val="both"/>
        <w:rPr>
          <w:rFonts w:cs="Times New Roman"/>
          <w:b/>
          <w:bCs/>
          <w:sz w:val="32"/>
          <w:szCs w:val="32"/>
          <w:lang w:val="en-GB"/>
        </w:rPr>
      </w:pPr>
    </w:p>
    <w:p w14:paraId="7774A254" w14:textId="77777777" w:rsidR="00F13E92" w:rsidRPr="00F13E92" w:rsidRDefault="00F13E92" w:rsidP="00EF3EE0">
      <w:pPr>
        <w:spacing w:after="120" w:line="240" w:lineRule="auto"/>
        <w:jc w:val="both"/>
        <w:rPr>
          <w:rFonts w:cs="Times New Roman"/>
          <w:b/>
          <w:bCs/>
          <w:sz w:val="32"/>
          <w:szCs w:val="32"/>
          <w:lang w:val="en-GB"/>
        </w:rPr>
      </w:pPr>
    </w:p>
    <w:p w14:paraId="00449E4B" w14:textId="77777777" w:rsidR="00F13E92" w:rsidRPr="00F13E92" w:rsidRDefault="00F13E92" w:rsidP="00EF3EE0">
      <w:pPr>
        <w:spacing w:after="120" w:line="240" w:lineRule="auto"/>
        <w:jc w:val="both"/>
        <w:rPr>
          <w:rFonts w:cs="Times New Roman"/>
          <w:b/>
          <w:bCs/>
          <w:sz w:val="32"/>
          <w:szCs w:val="32"/>
          <w:lang w:val="en-GB"/>
        </w:rPr>
      </w:pPr>
    </w:p>
    <w:p w14:paraId="3F31FDB4" w14:textId="77777777" w:rsidR="00F13E92" w:rsidRPr="00F13E92" w:rsidRDefault="00F13E92" w:rsidP="00EF3EE0">
      <w:pPr>
        <w:spacing w:after="120" w:line="240" w:lineRule="auto"/>
        <w:jc w:val="both"/>
        <w:rPr>
          <w:rFonts w:cs="Times New Roman"/>
          <w:b/>
          <w:bCs/>
          <w:sz w:val="32"/>
          <w:szCs w:val="32"/>
          <w:lang w:val="en-GB"/>
        </w:rPr>
      </w:pPr>
    </w:p>
    <w:p w14:paraId="28F0EBBD" w14:textId="77777777" w:rsidR="00F13E92" w:rsidRPr="00F13E92" w:rsidRDefault="00F13E92" w:rsidP="00EF3EE0">
      <w:pPr>
        <w:spacing w:after="120" w:line="240" w:lineRule="auto"/>
        <w:jc w:val="both"/>
        <w:rPr>
          <w:rFonts w:cs="Times New Roman"/>
          <w:b/>
          <w:bCs/>
          <w:sz w:val="32"/>
          <w:szCs w:val="32"/>
          <w:lang w:val="en-GB"/>
        </w:rPr>
      </w:pPr>
    </w:p>
    <w:p w14:paraId="6C0E0D23" w14:textId="77777777" w:rsidR="00F13E92" w:rsidRPr="00F13E92" w:rsidRDefault="00F13E92" w:rsidP="00EF3EE0">
      <w:pPr>
        <w:spacing w:after="120" w:line="240" w:lineRule="auto"/>
        <w:jc w:val="both"/>
        <w:rPr>
          <w:rFonts w:cs="Times New Roman"/>
          <w:b/>
          <w:bCs/>
          <w:sz w:val="32"/>
          <w:szCs w:val="32"/>
          <w:lang w:val="en-GB"/>
        </w:rPr>
      </w:pPr>
    </w:p>
    <w:p w14:paraId="0D4A1F48" w14:textId="77777777" w:rsidR="00F13E92" w:rsidRPr="00F13E92" w:rsidRDefault="00F13E92" w:rsidP="00EF3EE0">
      <w:pPr>
        <w:spacing w:after="120" w:line="240" w:lineRule="auto"/>
        <w:jc w:val="both"/>
        <w:rPr>
          <w:rFonts w:cs="Times New Roman"/>
          <w:b/>
          <w:bCs/>
          <w:sz w:val="32"/>
          <w:szCs w:val="32"/>
          <w:lang w:val="en-GB"/>
        </w:rPr>
      </w:pPr>
    </w:p>
    <w:p w14:paraId="36C42A5F" w14:textId="77777777" w:rsidR="00F13E92" w:rsidRPr="00F13E92" w:rsidRDefault="00F13E92" w:rsidP="00EF3EE0">
      <w:pPr>
        <w:spacing w:after="120" w:line="240" w:lineRule="auto"/>
        <w:jc w:val="both"/>
        <w:rPr>
          <w:rFonts w:cs="Times New Roman"/>
          <w:b/>
          <w:bCs/>
          <w:sz w:val="32"/>
          <w:szCs w:val="32"/>
          <w:lang w:val="en-GB"/>
        </w:rPr>
      </w:pPr>
    </w:p>
    <w:p w14:paraId="212852C9" w14:textId="77777777" w:rsidR="00F13E92" w:rsidRPr="00F13E92" w:rsidRDefault="00F13E92" w:rsidP="00EF3EE0">
      <w:pPr>
        <w:spacing w:after="120" w:line="240" w:lineRule="auto"/>
        <w:jc w:val="both"/>
        <w:rPr>
          <w:rFonts w:cs="Times New Roman"/>
          <w:b/>
          <w:bCs/>
          <w:sz w:val="32"/>
          <w:szCs w:val="32"/>
          <w:lang w:val="en-GB"/>
        </w:rPr>
      </w:pPr>
    </w:p>
    <w:p w14:paraId="51C731E4" w14:textId="77777777" w:rsidR="00F13E92" w:rsidRPr="00F13E92" w:rsidRDefault="00F13E92" w:rsidP="00EF3EE0">
      <w:pPr>
        <w:spacing w:after="120" w:line="240" w:lineRule="auto"/>
        <w:jc w:val="both"/>
        <w:rPr>
          <w:rFonts w:cs="Times New Roman"/>
          <w:b/>
          <w:bCs/>
          <w:sz w:val="32"/>
          <w:szCs w:val="32"/>
          <w:lang w:val="en-GB"/>
        </w:rPr>
      </w:pPr>
    </w:p>
    <w:p w14:paraId="4BF4C14E" w14:textId="77777777" w:rsidR="00F13E92" w:rsidRPr="00F13E92" w:rsidRDefault="00F13E92" w:rsidP="00EF3EE0">
      <w:pPr>
        <w:spacing w:after="120" w:line="240" w:lineRule="auto"/>
        <w:jc w:val="both"/>
        <w:rPr>
          <w:rFonts w:cs="Times New Roman"/>
          <w:b/>
          <w:bCs/>
          <w:sz w:val="32"/>
          <w:szCs w:val="32"/>
          <w:lang w:val="en-GB"/>
        </w:rPr>
      </w:pPr>
    </w:p>
    <w:p w14:paraId="6EFC5A2B" w14:textId="77777777" w:rsidR="00F13E92" w:rsidRPr="00F13E92" w:rsidRDefault="00F13E92" w:rsidP="00EF3EE0">
      <w:pPr>
        <w:spacing w:after="120" w:line="240" w:lineRule="auto"/>
        <w:jc w:val="both"/>
        <w:rPr>
          <w:rFonts w:cs="Times New Roman"/>
          <w:b/>
          <w:bCs/>
          <w:sz w:val="32"/>
          <w:szCs w:val="32"/>
          <w:lang w:val="en-GB"/>
        </w:rPr>
      </w:pPr>
    </w:p>
    <w:p w14:paraId="209691F2" w14:textId="77777777" w:rsidR="00F13E92" w:rsidRPr="00F13E92" w:rsidRDefault="00F13E92" w:rsidP="00EF3EE0">
      <w:pPr>
        <w:spacing w:after="120" w:line="240" w:lineRule="auto"/>
        <w:jc w:val="both"/>
        <w:rPr>
          <w:rFonts w:cs="Times New Roman"/>
          <w:b/>
          <w:bCs/>
          <w:sz w:val="32"/>
          <w:szCs w:val="32"/>
          <w:lang w:val="en-GB"/>
        </w:rPr>
      </w:pPr>
    </w:p>
    <w:p w14:paraId="2FEAFC4B" w14:textId="77777777" w:rsidR="00C672B7" w:rsidRPr="00F13E92" w:rsidRDefault="00C672B7" w:rsidP="00EF3EE0">
      <w:pPr>
        <w:spacing w:after="120" w:line="240" w:lineRule="auto"/>
        <w:jc w:val="both"/>
        <w:rPr>
          <w:rFonts w:cs="Times New Roman"/>
          <w:b/>
          <w:bCs/>
          <w:sz w:val="32"/>
          <w:szCs w:val="32"/>
          <w:lang w:val="en-GB"/>
        </w:rPr>
      </w:pPr>
    </w:p>
    <w:p w14:paraId="45A398EC" w14:textId="77777777" w:rsidR="007830B5" w:rsidRDefault="007830B5" w:rsidP="00EF3EE0">
      <w:pPr>
        <w:spacing w:after="120" w:line="240" w:lineRule="auto"/>
        <w:jc w:val="both"/>
        <w:rPr>
          <w:rFonts w:cs="Times New Roman"/>
          <w:b/>
          <w:bCs/>
          <w:sz w:val="32"/>
          <w:szCs w:val="32"/>
          <w:lang w:val="en-GB"/>
        </w:rPr>
      </w:pPr>
    </w:p>
    <w:p w14:paraId="6D042CCA" w14:textId="77777777" w:rsidR="00B72E14" w:rsidRDefault="00B72E14" w:rsidP="00EF3EE0">
      <w:pPr>
        <w:spacing w:after="120" w:line="240" w:lineRule="auto"/>
        <w:jc w:val="both"/>
        <w:rPr>
          <w:rFonts w:cs="Times New Roman"/>
          <w:b/>
          <w:bCs/>
          <w:sz w:val="32"/>
          <w:szCs w:val="32"/>
          <w:lang w:val="en-GB"/>
        </w:rPr>
      </w:pPr>
    </w:p>
    <w:p w14:paraId="63389324" w14:textId="77777777" w:rsidR="00B72E14" w:rsidRDefault="00B72E14" w:rsidP="00EF3EE0">
      <w:pPr>
        <w:spacing w:after="120" w:line="240" w:lineRule="auto"/>
        <w:jc w:val="both"/>
        <w:rPr>
          <w:rFonts w:cs="Times New Roman"/>
          <w:b/>
          <w:bCs/>
          <w:sz w:val="32"/>
          <w:szCs w:val="32"/>
          <w:lang w:val="en-GB"/>
        </w:rPr>
      </w:pPr>
    </w:p>
    <w:p w14:paraId="7ED19BB8" w14:textId="77777777" w:rsidR="00B72E14" w:rsidRDefault="00B72E14" w:rsidP="00EF3EE0">
      <w:pPr>
        <w:spacing w:after="120" w:line="240" w:lineRule="auto"/>
        <w:jc w:val="both"/>
        <w:rPr>
          <w:rFonts w:cs="Times New Roman"/>
          <w:b/>
          <w:bCs/>
          <w:sz w:val="32"/>
          <w:szCs w:val="32"/>
          <w:lang w:val="en-GB"/>
        </w:rPr>
      </w:pPr>
    </w:p>
    <w:p w14:paraId="77D5FE8D" w14:textId="77777777" w:rsidR="00B72E14" w:rsidRDefault="00B72E14" w:rsidP="00EF3EE0">
      <w:pPr>
        <w:spacing w:after="120" w:line="240" w:lineRule="auto"/>
        <w:jc w:val="both"/>
        <w:rPr>
          <w:rFonts w:cs="Times New Roman"/>
          <w:b/>
          <w:bCs/>
          <w:sz w:val="32"/>
          <w:szCs w:val="32"/>
          <w:lang w:val="en-GB"/>
        </w:rPr>
      </w:pPr>
    </w:p>
    <w:p w14:paraId="1BF3BDEF" w14:textId="77777777" w:rsidR="00B72E14" w:rsidRDefault="00B72E14" w:rsidP="00EF3EE0">
      <w:pPr>
        <w:spacing w:after="120" w:line="240" w:lineRule="auto"/>
        <w:jc w:val="both"/>
        <w:rPr>
          <w:rFonts w:cs="Times New Roman"/>
          <w:b/>
          <w:bCs/>
          <w:sz w:val="32"/>
          <w:szCs w:val="32"/>
          <w:lang w:val="en-GB"/>
        </w:rPr>
      </w:pPr>
    </w:p>
    <w:p w14:paraId="16B75A78" w14:textId="77777777" w:rsidR="00B72E14" w:rsidRDefault="00B72E14" w:rsidP="00EF3EE0">
      <w:pPr>
        <w:spacing w:after="120" w:line="240" w:lineRule="auto"/>
        <w:jc w:val="both"/>
        <w:rPr>
          <w:rFonts w:cs="Times New Roman"/>
          <w:b/>
          <w:bCs/>
          <w:sz w:val="32"/>
          <w:szCs w:val="32"/>
          <w:lang w:val="en-GB"/>
        </w:rPr>
      </w:pPr>
    </w:p>
    <w:p w14:paraId="5B940CD9" w14:textId="77777777" w:rsidR="00B72E14" w:rsidRDefault="00B72E14" w:rsidP="00EF3EE0">
      <w:pPr>
        <w:spacing w:after="120" w:line="240" w:lineRule="auto"/>
        <w:jc w:val="both"/>
        <w:rPr>
          <w:rFonts w:cs="Times New Roman"/>
          <w:b/>
          <w:bCs/>
          <w:sz w:val="32"/>
          <w:szCs w:val="32"/>
          <w:lang w:val="en-GB"/>
        </w:rPr>
      </w:pPr>
    </w:p>
    <w:p w14:paraId="6274FEB3" w14:textId="77777777" w:rsidR="00B72E14" w:rsidRDefault="00B72E14" w:rsidP="00EF3EE0">
      <w:pPr>
        <w:spacing w:after="120" w:line="240" w:lineRule="auto"/>
        <w:jc w:val="both"/>
        <w:rPr>
          <w:rFonts w:cs="Times New Roman"/>
          <w:b/>
          <w:bCs/>
          <w:sz w:val="32"/>
          <w:szCs w:val="32"/>
          <w:lang w:val="en-GB"/>
        </w:rPr>
      </w:pPr>
    </w:p>
    <w:p w14:paraId="10A58518" w14:textId="77777777" w:rsidR="00B72E14" w:rsidRDefault="00B72E14" w:rsidP="00EF3EE0">
      <w:pPr>
        <w:spacing w:after="120" w:line="240" w:lineRule="auto"/>
        <w:jc w:val="both"/>
        <w:rPr>
          <w:rFonts w:cs="Times New Roman"/>
          <w:b/>
          <w:bCs/>
          <w:sz w:val="32"/>
          <w:szCs w:val="32"/>
          <w:lang w:val="en-GB"/>
        </w:rPr>
      </w:pPr>
    </w:p>
    <w:p w14:paraId="5A37E6CD" w14:textId="77777777" w:rsidR="00B72E14" w:rsidRDefault="00B72E14" w:rsidP="00EF3EE0">
      <w:pPr>
        <w:spacing w:after="120" w:line="240" w:lineRule="auto"/>
        <w:jc w:val="both"/>
        <w:rPr>
          <w:rFonts w:cs="Times New Roman"/>
          <w:b/>
          <w:bCs/>
          <w:sz w:val="32"/>
          <w:szCs w:val="32"/>
          <w:lang w:val="en-GB"/>
        </w:rPr>
      </w:pPr>
    </w:p>
    <w:p w14:paraId="29AE87AE" w14:textId="77777777" w:rsidR="00B72E14" w:rsidRDefault="00B72E14" w:rsidP="00EF3EE0">
      <w:pPr>
        <w:spacing w:after="120" w:line="240" w:lineRule="auto"/>
        <w:jc w:val="both"/>
        <w:rPr>
          <w:rFonts w:cs="Times New Roman"/>
          <w:b/>
          <w:bCs/>
          <w:sz w:val="32"/>
          <w:szCs w:val="32"/>
          <w:lang w:val="en-GB"/>
        </w:rPr>
      </w:pPr>
    </w:p>
    <w:p w14:paraId="274878B5" w14:textId="77777777" w:rsidR="000A3C24" w:rsidRPr="005B2BAC" w:rsidRDefault="000A3C24">
      <w:pPr>
        <w:rPr>
          <w:rFonts w:cs="Times New Roman"/>
          <w:b/>
          <w:bCs/>
          <w:sz w:val="28"/>
          <w:szCs w:val="28"/>
          <w:lang w:val="en-US"/>
        </w:rPr>
      </w:pPr>
      <w:r w:rsidRPr="005B2BAC">
        <w:rPr>
          <w:rFonts w:cs="Times New Roman"/>
          <w:b/>
          <w:bCs/>
          <w:sz w:val="28"/>
          <w:szCs w:val="28"/>
          <w:lang w:val="en-US"/>
        </w:rPr>
        <w:br w:type="page"/>
      </w:r>
    </w:p>
    <w:p w14:paraId="0978FA67" w14:textId="46F7B0DA" w:rsidR="00B72E14" w:rsidRDefault="0096219D" w:rsidP="00B72E14">
      <w:pPr>
        <w:spacing w:after="120" w:line="240" w:lineRule="auto"/>
        <w:jc w:val="center"/>
        <w:rPr>
          <w:rFonts w:cs="Times New Roman"/>
          <w:b/>
          <w:bCs/>
          <w:sz w:val="28"/>
          <w:szCs w:val="28"/>
        </w:rPr>
      </w:pPr>
      <w:r>
        <w:rPr>
          <w:rFonts w:cs="Times New Roman"/>
          <w:b/>
          <w:bCs/>
          <w:sz w:val="28"/>
          <w:szCs w:val="28"/>
        </w:rPr>
        <w:lastRenderedPageBreak/>
        <w:t>Ευχαριστίες</w:t>
      </w:r>
    </w:p>
    <w:p w14:paraId="7EDCCD9D" w14:textId="77777777" w:rsidR="0096219D" w:rsidRPr="0096219D" w:rsidRDefault="0096219D" w:rsidP="00B72E14">
      <w:pPr>
        <w:spacing w:after="120" w:line="240" w:lineRule="auto"/>
        <w:jc w:val="center"/>
        <w:rPr>
          <w:rFonts w:cs="Times New Roman"/>
          <w:b/>
          <w:bCs/>
          <w:sz w:val="28"/>
          <w:szCs w:val="28"/>
        </w:rPr>
      </w:pPr>
    </w:p>
    <w:p w14:paraId="64BB0F2C" w14:textId="4B58FF43" w:rsidR="004D3247" w:rsidRPr="004D3247" w:rsidRDefault="004D3247" w:rsidP="004D3247">
      <w:pPr>
        <w:spacing w:after="120" w:line="360" w:lineRule="auto"/>
        <w:jc w:val="both"/>
        <w:rPr>
          <w:rFonts w:cs="Times New Roman"/>
        </w:rPr>
      </w:pPr>
      <w:r w:rsidRPr="004D3247">
        <w:rPr>
          <w:rFonts w:cs="Times New Roman"/>
        </w:rPr>
        <w:t xml:space="preserve">Θα ήθελα να ευχαριστήσω θερμά τον επιβλέποντα </w:t>
      </w:r>
      <w:r w:rsidR="00603361">
        <w:rPr>
          <w:rFonts w:cs="Times New Roman"/>
        </w:rPr>
        <w:t>Κ</w:t>
      </w:r>
      <w:r w:rsidRPr="004D3247">
        <w:rPr>
          <w:rFonts w:cs="Times New Roman"/>
        </w:rPr>
        <w:t xml:space="preserve">αθηγητή μου, κ. Α. </w:t>
      </w:r>
      <w:proofErr w:type="spellStart"/>
      <w:r w:rsidRPr="004D3247">
        <w:rPr>
          <w:rFonts w:cs="Times New Roman"/>
        </w:rPr>
        <w:t>Κλαδά</w:t>
      </w:r>
      <w:proofErr w:type="spellEnd"/>
      <w:r w:rsidRPr="004D3247">
        <w:rPr>
          <w:rFonts w:cs="Times New Roman"/>
        </w:rPr>
        <w:t>, για την εμπιστοσύνη που μου έδειξε με την ανάθεση του θέματος, καθώς και για την καθοδήγηση, τις εύστοχες παρατηρήσεις και την υποστήριξή του καθ' όλη τη διάρκεια της εκπόνησης της διπλωματικής εργασίας.</w:t>
      </w:r>
    </w:p>
    <w:p w14:paraId="774203D7" w14:textId="44C40243" w:rsidR="004D3247" w:rsidRPr="004D3247" w:rsidRDefault="004D3247" w:rsidP="004D3247">
      <w:pPr>
        <w:spacing w:after="120" w:line="360" w:lineRule="auto"/>
        <w:jc w:val="both"/>
        <w:rPr>
          <w:rFonts w:cs="Times New Roman"/>
        </w:rPr>
      </w:pPr>
      <w:r w:rsidRPr="004D3247">
        <w:rPr>
          <w:rFonts w:cs="Times New Roman"/>
        </w:rPr>
        <w:t xml:space="preserve">Ευχαριστώ επίσης τα μέλη της εξεταστικής επιτροπής, </w:t>
      </w:r>
      <w:proofErr w:type="spellStart"/>
      <w:r w:rsidR="00603361">
        <w:rPr>
          <w:rFonts w:cs="Times New Roman"/>
        </w:rPr>
        <w:t>Επίκ</w:t>
      </w:r>
      <w:proofErr w:type="spellEnd"/>
      <w:r w:rsidR="00603361">
        <w:rPr>
          <w:rFonts w:cs="Times New Roman"/>
        </w:rPr>
        <w:t xml:space="preserve">. Καθηγητή </w:t>
      </w:r>
      <w:r w:rsidRPr="004D3247">
        <w:rPr>
          <w:rFonts w:cs="Times New Roman"/>
        </w:rPr>
        <w:t xml:space="preserve">κ. </w:t>
      </w:r>
      <w:r w:rsidR="00603361">
        <w:rPr>
          <w:rFonts w:cs="Times New Roman"/>
        </w:rPr>
        <w:t xml:space="preserve">Α. </w:t>
      </w:r>
      <w:r w:rsidRPr="004D3247">
        <w:rPr>
          <w:rFonts w:cs="Times New Roman"/>
        </w:rPr>
        <w:t xml:space="preserve">Σαρηγιαννίδη και </w:t>
      </w:r>
      <w:r w:rsidR="00603361">
        <w:rPr>
          <w:rFonts w:cs="Times New Roman"/>
        </w:rPr>
        <w:t xml:space="preserve">Καθηγητή </w:t>
      </w:r>
      <w:r w:rsidRPr="004D3247">
        <w:rPr>
          <w:rFonts w:cs="Times New Roman"/>
        </w:rPr>
        <w:t xml:space="preserve">κ. </w:t>
      </w:r>
      <w:r w:rsidR="00603361">
        <w:rPr>
          <w:rFonts w:cs="Times New Roman"/>
        </w:rPr>
        <w:t xml:space="preserve">Ι. </w:t>
      </w:r>
      <w:proofErr w:type="spellStart"/>
      <w:r w:rsidRPr="004D3247">
        <w:rPr>
          <w:rFonts w:cs="Times New Roman"/>
        </w:rPr>
        <w:t>Προυσαλίδη</w:t>
      </w:r>
      <w:proofErr w:type="spellEnd"/>
      <w:r w:rsidRPr="004D3247">
        <w:rPr>
          <w:rFonts w:cs="Times New Roman"/>
        </w:rPr>
        <w:t xml:space="preserve">, για </w:t>
      </w:r>
      <w:r w:rsidR="00603361">
        <w:rPr>
          <w:rFonts w:cs="Times New Roman"/>
        </w:rPr>
        <w:t xml:space="preserve">τη βοήθεια και </w:t>
      </w:r>
      <w:r w:rsidRPr="004D3247">
        <w:rPr>
          <w:rFonts w:cs="Times New Roman"/>
        </w:rPr>
        <w:t>τον χρόνο που αφιέρωσαν στην αξιολόγηση της εργασίας.</w:t>
      </w:r>
    </w:p>
    <w:p w14:paraId="3A9A4EC9" w14:textId="77777777" w:rsidR="004D3247" w:rsidRPr="004D3247" w:rsidRDefault="004D3247" w:rsidP="004D3247">
      <w:pPr>
        <w:spacing w:after="120" w:line="360" w:lineRule="auto"/>
        <w:jc w:val="both"/>
        <w:rPr>
          <w:rFonts w:cs="Times New Roman"/>
        </w:rPr>
      </w:pPr>
      <w:r w:rsidRPr="004D3247">
        <w:rPr>
          <w:rFonts w:cs="Times New Roman"/>
        </w:rPr>
        <w:t>Τέλος, ευχαριστώ βαθύτατα την οικογένειά μου για τη διαρκή στήριξη, την υπομονή και την ενθάρρυνσή της, όχι μόνο κατά τη διάρκεια της εργασίας αλλά και καθ' όλη τη διάρκεια των σπουδών μου.</w:t>
      </w:r>
    </w:p>
    <w:p w14:paraId="677D8CCF" w14:textId="77777777" w:rsidR="00B72E14" w:rsidRPr="004D3247" w:rsidRDefault="00B72E14" w:rsidP="00EF3EE0">
      <w:pPr>
        <w:spacing w:after="120" w:line="240" w:lineRule="auto"/>
        <w:jc w:val="both"/>
        <w:rPr>
          <w:rFonts w:cs="Times New Roman"/>
          <w:b/>
          <w:bCs/>
          <w:sz w:val="32"/>
          <w:szCs w:val="32"/>
        </w:rPr>
      </w:pPr>
    </w:p>
    <w:p w14:paraId="685F8E35" w14:textId="77777777" w:rsidR="00B72E14" w:rsidRPr="004D3247" w:rsidRDefault="00B72E14" w:rsidP="00EF3EE0">
      <w:pPr>
        <w:spacing w:after="120" w:line="240" w:lineRule="auto"/>
        <w:jc w:val="both"/>
        <w:rPr>
          <w:rFonts w:cs="Times New Roman"/>
          <w:b/>
          <w:bCs/>
          <w:sz w:val="32"/>
          <w:szCs w:val="32"/>
        </w:rPr>
      </w:pPr>
    </w:p>
    <w:p w14:paraId="7C541C95" w14:textId="77777777" w:rsidR="00B72E14" w:rsidRPr="004D3247" w:rsidRDefault="00B72E14" w:rsidP="00EF3EE0">
      <w:pPr>
        <w:spacing w:after="120" w:line="240" w:lineRule="auto"/>
        <w:jc w:val="both"/>
        <w:rPr>
          <w:rFonts w:cs="Times New Roman"/>
          <w:b/>
          <w:bCs/>
          <w:sz w:val="32"/>
          <w:szCs w:val="32"/>
        </w:rPr>
      </w:pPr>
    </w:p>
    <w:p w14:paraId="4CD8942F" w14:textId="77777777" w:rsidR="00B72E14" w:rsidRPr="004D3247" w:rsidRDefault="00B72E14" w:rsidP="00EF3EE0">
      <w:pPr>
        <w:spacing w:after="120" w:line="240" w:lineRule="auto"/>
        <w:jc w:val="both"/>
        <w:rPr>
          <w:rFonts w:cs="Times New Roman"/>
          <w:b/>
          <w:bCs/>
          <w:sz w:val="32"/>
          <w:szCs w:val="32"/>
        </w:rPr>
      </w:pPr>
    </w:p>
    <w:p w14:paraId="0DFEFA42" w14:textId="77777777" w:rsidR="00B72E14" w:rsidRPr="004D3247" w:rsidRDefault="00B72E14" w:rsidP="00EF3EE0">
      <w:pPr>
        <w:spacing w:after="120" w:line="240" w:lineRule="auto"/>
        <w:jc w:val="both"/>
        <w:rPr>
          <w:rFonts w:cs="Times New Roman"/>
          <w:b/>
          <w:bCs/>
          <w:sz w:val="32"/>
          <w:szCs w:val="32"/>
        </w:rPr>
      </w:pPr>
    </w:p>
    <w:p w14:paraId="107E21ED" w14:textId="77777777" w:rsidR="00B72E14" w:rsidRPr="004D3247" w:rsidRDefault="00B72E14" w:rsidP="00EF3EE0">
      <w:pPr>
        <w:spacing w:after="120" w:line="240" w:lineRule="auto"/>
        <w:jc w:val="both"/>
        <w:rPr>
          <w:rFonts w:cs="Times New Roman"/>
          <w:b/>
          <w:bCs/>
          <w:sz w:val="32"/>
          <w:szCs w:val="32"/>
        </w:rPr>
      </w:pPr>
    </w:p>
    <w:p w14:paraId="54105EC1" w14:textId="77777777" w:rsidR="00B72E14" w:rsidRPr="004D3247" w:rsidRDefault="00B72E14" w:rsidP="00EF3EE0">
      <w:pPr>
        <w:spacing w:after="120" w:line="240" w:lineRule="auto"/>
        <w:jc w:val="both"/>
        <w:rPr>
          <w:rFonts w:cs="Times New Roman"/>
          <w:b/>
          <w:bCs/>
          <w:sz w:val="32"/>
          <w:szCs w:val="32"/>
        </w:rPr>
      </w:pPr>
    </w:p>
    <w:p w14:paraId="671207D5" w14:textId="77777777" w:rsidR="00B72E14" w:rsidRPr="004D3247" w:rsidRDefault="00B72E14" w:rsidP="00EF3EE0">
      <w:pPr>
        <w:spacing w:after="120" w:line="240" w:lineRule="auto"/>
        <w:jc w:val="both"/>
        <w:rPr>
          <w:rFonts w:cs="Times New Roman"/>
          <w:b/>
          <w:bCs/>
          <w:sz w:val="32"/>
          <w:szCs w:val="32"/>
        </w:rPr>
      </w:pPr>
    </w:p>
    <w:p w14:paraId="19A92F50" w14:textId="77777777" w:rsidR="00B72E14" w:rsidRPr="004D3247" w:rsidRDefault="00B72E14" w:rsidP="00EF3EE0">
      <w:pPr>
        <w:spacing w:after="120" w:line="240" w:lineRule="auto"/>
        <w:jc w:val="both"/>
        <w:rPr>
          <w:rFonts w:cs="Times New Roman"/>
          <w:b/>
          <w:bCs/>
          <w:sz w:val="32"/>
          <w:szCs w:val="32"/>
        </w:rPr>
      </w:pPr>
    </w:p>
    <w:p w14:paraId="3EEA1277" w14:textId="77777777" w:rsidR="00B72E14" w:rsidRPr="004D3247" w:rsidRDefault="00B72E14" w:rsidP="00EF3EE0">
      <w:pPr>
        <w:spacing w:after="120" w:line="240" w:lineRule="auto"/>
        <w:jc w:val="both"/>
        <w:rPr>
          <w:rFonts w:cs="Times New Roman"/>
          <w:b/>
          <w:bCs/>
          <w:sz w:val="32"/>
          <w:szCs w:val="32"/>
        </w:rPr>
      </w:pPr>
    </w:p>
    <w:p w14:paraId="251EE646" w14:textId="77777777" w:rsidR="00B72E14" w:rsidRPr="004D3247" w:rsidRDefault="00B72E14" w:rsidP="00EF3EE0">
      <w:pPr>
        <w:spacing w:after="120" w:line="240" w:lineRule="auto"/>
        <w:jc w:val="both"/>
        <w:rPr>
          <w:rFonts w:cs="Times New Roman"/>
          <w:b/>
          <w:bCs/>
          <w:sz w:val="32"/>
          <w:szCs w:val="32"/>
        </w:rPr>
      </w:pPr>
    </w:p>
    <w:p w14:paraId="779DC478" w14:textId="77777777" w:rsidR="00B72E14" w:rsidRPr="004D3247" w:rsidRDefault="00B72E14" w:rsidP="00EF3EE0">
      <w:pPr>
        <w:spacing w:after="120" w:line="240" w:lineRule="auto"/>
        <w:jc w:val="both"/>
        <w:rPr>
          <w:rFonts w:cs="Times New Roman"/>
          <w:b/>
          <w:bCs/>
          <w:sz w:val="32"/>
          <w:szCs w:val="32"/>
        </w:rPr>
      </w:pPr>
    </w:p>
    <w:p w14:paraId="2EB49D45" w14:textId="77777777" w:rsidR="00B72E14" w:rsidRPr="004D3247" w:rsidRDefault="00B72E14" w:rsidP="00EF3EE0">
      <w:pPr>
        <w:spacing w:after="120" w:line="240" w:lineRule="auto"/>
        <w:jc w:val="both"/>
        <w:rPr>
          <w:rFonts w:cs="Times New Roman"/>
          <w:b/>
          <w:bCs/>
          <w:sz w:val="32"/>
          <w:szCs w:val="32"/>
        </w:rPr>
      </w:pPr>
    </w:p>
    <w:p w14:paraId="0840E44E" w14:textId="77777777" w:rsidR="00B72E14" w:rsidRPr="004D3247" w:rsidRDefault="00B72E14" w:rsidP="00EF3EE0">
      <w:pPr>
        <w:spacing w:after="120" w:line="240" w:lineRule="auto"/>
        <w:jc w:val="both"/>
        <w:rPr>
          <w:rFonts w:cs="Times New Roman"/>
          <w:b/>
          <w:bCs/>
          <w:sz w:val="32"/>
          <w:szCs w:val="32"/>
        </w:rPr>
      </w:pPr>
    </w:p>
    <w:p w14:paraId="11403564" w14:textId="77777777" w:rsidR="00B72E14" w:rsidRPr="004D3247" w:rsidRDefault="00B72E14" w:rsidP="00EF3EE0">
      <w:pPr>
        <w:spacing w:after="120" w:line="240" w:lineRule="auto"/>
        <w:jc w:val="both"/>
        <w:rPr>
          <w:rFonts w:cs="Times New Roman"/>
          <w:b/>
          <w:bCs/>
          <w:sz w:val="32"/>
          <w:szCs w:val="32"/>
        </w:rPr>
      </w:pPr>
    </w:p>
    <w:p w14:paraId="1156B720" w14:textId="77777777" w:rsidR="00B72E14" w:rsidRPr="004D3247" w:rsidRDefault="00B72E14" w:rsidP="00EF3EE0">
      <w:pPr>
        <w:spacing w:after="120" w:line="240" w:lineRule="auto"/>
        <w:jc w:val="both"/>
        <w:rPr>
          <w:rFonts w:cs="Times New Roman"/>
          <w:b/>
          <w:bCs/>
          <w:sz w:val="32"/>
          <w:szCs w:val="32"/>
        </w:rPr>
      </w:pPr>
    </w:p>
    <w:p w14:paraId="37FD2082" w14:textId="77777777" w:rsidR="00B72E14" w:rsidRPr="004D3247" w:rsidRDefault="00B72E14" w:rsidP="00EF3EE0">
      <w:pPr>
        <w:spacing w:after="120" w:line="240" w:lineRule="auto"/>
        <w:jc w:val="both"/>
        <w:rPr>
          <w:rFonts w:cs="Times New Roman"/>
          <w:b/>
          <w:bCs/>
          <w:sz w:val="32"/>
          <w:szCs w:val="32"/>
        </w:rPr>
      </w:pPr>
    </w:p>
    <w:p w14:paraId="7A45CDC6" w14:textId="77777777" w:rsidR="00B72E14" w:rsidRPr="004D3247" w:rsidRDefault="00B72E14" w:rsidP="00EF3EE0">
      <w:pPr>
        <w:spacing w:after="120" w:line="240" w:lineRule="auto"/>
        <w:jc w:val="both"/>
        <w:rPr>
          <w:rFonts w:cs="Times New Roman"/>
          <w:b/>
          <w:bCs/>
          <w:sz w:val="32"/>
          <w:szCs w:val="32"/>
        </w:rPr>
      </w:pPr>
    </w:p>
    <w:p w14:paraId="4A27A7C6" w14:textId="77777777" w:rsidR="00B72E14" w:rsidRPr="004D3247" w:rsidRDefault="00B72E14" w:rsidP="00EF3EE0">
      <w:pPr>
        <w:spacing w:after="120" w:line="240" w:lineRule="auto"/>
        <w:jc w:val="both"/>
        <w:rPr>
          <w:rFonts w:cs="Times New Roman"/>
          <w:b/>
          <w:bCs/>
          <w:sz w:val="32"/>
          <w:szCs w:val="32"/>
        </w:rPr>
      </w:pPr>
    </w:p>
    <w:p w14:paraId="14CD952A" w14:textId="77777777" w:rsidR="00B72E14" w:rsidRPr="004D3247" w:rsidRDefault="00B72E14" w:rsidP="00EF3EE0">
      <w:pPr>
        <w:spacing w:after="120" w:line="240" w:lineRule="auto"/>
        <w:jc w:val="both"/>
        <w:rPr>
          <w:rFonts w:cs="Times New Roman"/>
          <w:b/>
          <w:bCs/>
          <w:sz w:val="32"/>
          <w:szCs w:val="32"/>
        </w:rPr>
      </w:pPr>
    </w:p>
    <w:p w14:paraId="5323BF47" w14:textId="77777777" w:rsidR="00B72E14" w:rsidRPr="004D3247" w:rsidRDefault="00B72E14" w:rsidP="00EF3EE0">
      <w:pPr>
        <w:spacing w:after="120" w:line="240" w:lineRule="auto"/>
        <w:jc w:val="both"/>
        <w:rPr>
          <w:rFonts w:cs="Times New Roman"/>
          <w:b/>
          <w:bCs/>
          <w:sz w:val="32"/>
          <w:szCs w:val="32"/>
        </w:rPr>
      </w:pPr>
    </w:p>
    <w:p w14:paraId="7F1CBE2A" w14:textId="77777777" w:rsidR="002B52DD" w:rsidRPr="004D3247" w:rsidRDefault="002B52DD" w:rsidP="00EF3EE0">
      <w:pPr>
        <w:spacing w:after="120" w:line="240" w:lineRule="auto"/>
        <w:jc w:val="both"/>
        <w:rPr>
          <w:rFonts w:cs="Times New Roman"/>
          <w:b/>
          <w:bCs/>
          <w:sz w:val="32"/>
          <w:szCs w:val="32"/>
        </w:rPr>
      </w:pPr>
    </w:p>
    <w:p w14:paraId="0CB84493" w14:textId="77777777" w:rsidR="002B52DD" w:rsidRDefault="002B52DD" w:rsidP="00EF3EE0">
      <w:pPr>
        <w:spacing w:after="120" w:line="240" w:lineRule="auto"/>
        <w:jc w:val="both"/>
        <w:rPr>
          <w:rFonts w:cs="Times New Roman"/>
          <w:b/>
          <w:bCs/>
          <w:sz w:val="32"/>
          <w:szCs w:val="32"/>
        </w:rPr>
      </w:pPr>
    </w:p>
    <w:p w14:paraId="32D455AD" w14:textId="77777777" w:rsidR="004D3247" w:rsidRDefault="004D3247" w:rsidP="00EF3EE0">
      <w:pPr>
        <w:spacing w:after="120" w:line="240" w:lineRule="auto"/>
        <w:jc w:val="both"/>
        <w:rPr>
          <w:rFonts w:cs="Times New Roman"/>
          <w:b/>
          <w:bCs/>
          <w:sz w:val="32"/>
          <w:szCs w:val="32"/>
        </w:rPr>
      </w:pPr>
    </w:p>
    <w:p w14:paraId="4E5E4787" w14:textId="77777777" w:rsidR="004D3247" w:rsidRDefault="004D3247" w:rsidP="00EF3EE0">
      <w:pPr>
        <w:spacing w:after="120" w:line="240" w:lineRule="auto"/>
        <w:jc w:val="both"/>
        <w:rPr>
          <w:rFonts w:cs="Times New Roman"/>
          <w:b/>
          <w:bCs/>
          <w:sz w:val="32"/>
          <w:szCs w:val="32"/>
        </w:rPr>
      </w:pPr>
    </w:p>
    <w:p w14:paraId="7C4DBF3E" w14:textId="77777777" w:rsidR="004D3247" w:rsidRDefault="004D3247" w:rsidP="00EF3EE0">
      <w:pPr>
        <w:spacing w:after="120" w:line="240" w:lineRule="auto"/>
        <w:jc w:val="both"/>
        <w:rPr>
          <w:rFonts w:cs="Times New Roman"/>
          <w:b/>
          <w:bCs/>
          <w:sz w:val="32"/>
          <w:szCs w:val="32"/>
        </w:rPr>
      </w:pPr>
    </w:p>
    <w:p w14:paraId="3FF579A2" w14:textId="77777777" w:rsidR="004D3247" w:rsidRDefault="004D3247" w:rsidP="00EF3EE0">
      <w:pPr>
        <w:spacing w:after="120" w:line="240" w:lineRule="auto"/>
        <w:jc w:val="both"/>
        <w:rPr>
          <w:rFonts w:cs="Times New Roman"/>
          <w:b/>
          <w:bCs/>
          <w:sz w:val="32"/>
          <w:szCs w:val="32"/>
        </w:rPr>
      </w:pPr>
    </w:p>
    <w:p w14:paraId="3224A81B" w14:textId="77777777" w:rsidR="004D3247" w:rsidRDefault="004D3247" w:rsidP="00EF3EE0">
      <w:pPr>
        <w:spacing w:after="120" w:line="240" w:lineRule="auto"/>
        <w:jc w:val="both"/>
        <w:rPr>
          <w:rFonts w:cs="Times New Roman"/>
          <w:b/>
          <w:bCs/>
          <w:sz w:val="32"/>
          <w:szCs w:val="32"/>
        </w:rPr>
      </w:pPr>
    </w:p>
    <w:p w14:paraId="368A4856" w14:textId="77777777" w:rsidR="004D3247" w:rsidRDefault="004D3247" w:rsidP="00EF3EE0">
      <w:pPr>
        <w:spacing w:after="120" w:line="240" w:lineRule="auto"/>
        <w:jc w:val="both"/>
        <w:rPr>
          <w:rFonts w:cs="Times New Roman"/>
          <w:b/>
          <w:bCs/>
          <w:sz w:val="32"/>
          <w:szCs w:val="32"/>
        </w:rPr>
      </w:pPr>
    </w:p>
    <w:p w14:paraId="639771D0" w14:textId="77777777" w:rsidR="004D3247" w:rsidRDefault="004D3247" w:rsidP="00EF3EE0">
      <w:pPr>
        <w:spacing w:after="120" w:line="240" w:lineRule="auto"/>
        <w:jc w:val="both"/>
        <w:rPr>
          <w:rFonts w:cs="Times New Roman"/>
          <w:b/>
          <w:bCs/>
          <w:sz w:val="32"/>
          <w:szCs w:val="32"/>
        </w:rPr>
      </w:pPr>
    </w:p>
    <w:p w14:paraId="54E46BCB" w14:textId="77777777" w:rsidR="004D3247" w:rsidRDefault="004D3247" w:rsidP="00EF3EE0">
      <w:pPr>
        <w:spacing w:after="120" w:line="240" w:lineRule="auto"/>
        <w:jc w:val="both"/>
        <w:rPr>
          <w:rFonts w:cs="Times New Roman"/>
          <w:b/>
          <w:bCs/>
          <w:sz w:val="32"/>
          <w:szCs w:val="32"/>
        </w:rPr>
      </w:pPr>
    </w:p>
    <w:p w14:paraId="0564E0AF" w14:textId="77777777" w:rsidR="004D3247" w:rsidRDefault="004D3247" w:rsidP="00EF3EE0">
      <w:pPr>
        <w:spacing w:after="120" w:line="240" w:lineRule="auto"/>
        <w:jc w:val="both"/>
        <w:rPr>
          <w:rFonts w:cs="Times New Roman"/>
          <w:b/>
          <w:bCs/>
          <w:sz w:val="32"/>
          <w:szCs w:val="32"/>
        </w:rPr>
      </w:pPr>
    </w:p>
    <w:p w14:paraId="175BE1B9" w14:textId="77777777" w:rsidR="004D3247" w:rsidRDefault="004D3247" w:rsidP="00EF3EE0">
      <w:pPr>
        <w:spacing w:after="120" w:line="240" w:lineRule="auto"/>
        <w:jc w:val="both"/>
        <w:rPr>
          <w:rFonts w:cs="Times New Roman"/>
          <w:b/>
          <w:bCs/>
          <w:sz w:val="32"/>
          <w:szCs w:val="32"/>
        </w:rPr>
      </w:pPr>
    </w:p>
    <w:p w14:paraId="041EF040" w14:textId="77777777" w:rsidR="004D3247" w:rsidRDefault="004D3247" w:rsidP="00EF3EE0">
      <w:pPr>
        <w:spacing w:after="120" w:line="240" w:lineRule="auto"/>
        <w:jc w:val="both"/>
        <w:rPr>
          <w:rFonts w:cs="Times New Roman"/>
          <w:b/>
          <w:bCs/>
          <w:sz w:val="32"/>
          <w:szCs w:val="32"/>
        </w:rPr>
      </w:pPr>
    </w:p>
    <w:p w14:paraId="64A6C404" w14:textId="77777777" w:rsidR="004D3247" w:rsidRDefault="004D3247" w:rsidP="00EF3EE0">
      <w:pPr>
        <w:spacing w:after="120" w:line="240" w:lineRule="auto"/>
        <w:jc w:val="both"/>
        <w:rPr>
          <w:rFonts w:cs="Times New Roman"/>
          <w:b/>
          <w:bCs/>
          <w:sz w:val="32"/>
          <w:szCs w:val="32"/>
        </w:rPr>
      </w:pPr>
    </w:p>
    <w:p w14:paraId="53541004" w14:textId="77777777" w:rsidR="004D3247" w:rsidRDefault="004D3247" w:rsidP="00EF3EE0">
      <w:pPr>
        <w:spacing w:after="120" w:line="240" w:lineRule="auto"/>
        <w:jc w:val="both"/>
        <w:rPr>
          <w:rFonts w:cs="Times New Roman"/>
          <w:b/>
          <w:bCs/>
          <w:sz w:val="32"/>
          <w:szCs w:val="32"/>
        </w:rPr>
      </w:pPr>
    </w:p>
    <w:p w14:paraId="5BF15980" w14:textId="77777777" w:rsidR="004D3247" w:rsidRDefault="004D3247" w:rsidP="00EF3EE0">
      <w:pPr>
        <w:spacing w:after="120" w:line="240" w:lineRule="auto"/>
        <w:jc w:val="both"/>
        <w:rPr>
          <w:rFonts w:cs="Times New Roman"/>
          <w:b/>
          <w:bCs/>
          <w:sz w:val="32"/>
          <w:szCs w:val="32"/>
        </w:rPr>
      </w:pPr>
    </w:p>
    <w:p w14:paraId="01033789" w14:textId="77777777" w:rsidR="004D3247" w:rsidRDefault="004D3247" w:rsidP="00EF3EE0">
      <w:pPr>
        <w:spacing w:after="120" w:line="240" w:lineRule="auto"/>
        <w:jc w:val="both"/>
        <w:rPr>
          <w:rFonts w:cs="Times New Roman"/>
          <w:b/>
          <w:bCs/>
          <w:sz w:val="32"/>
          <w:szCs w:val="32"/>
        </w:rPr>
      </w:pPr>
    </w:p>
    <w:p w14:paraId="18036C76" w14:textId="77777777" w:rsidR="004D3247" w:rsidRDefault="004D3247" w:rsidP="00EF3EE0">
      <w:pPr>
        <w:spacing w:after="120" w:line="240" w:lineRule="auto"/>
        <w:jc w:val="both"/>
        <w:rPr>
          <w:rFonts w:cs="Times New Roman"/>
          <w:b/>
          <w:bCs/>
          <w:sz w:val="32"/>
          <w:szCs w:val="32"/>
        </w:rPr>
      </w:pPr>
    </w:p>
    <w:p w14:paraId="6E185C42" w14:textId="224B859B" w:rsidR="000A3C24" w:rsidRDefault="000A3C24">
      <w:pPr>
        <w:rPr>
          <w:rFonts w:cs="Times New Roman"/>
          <w:b/>
          <w:bCs/>
          <w:sz w:val="32"/>
          <w:szCs w:val="32"/>
        </w:rPr>
      </w:pPr>
      <w:r>
        <w:rPr>
          <w:rFonts w:cs="Times New Roman"/>
          <w:b/>
          <w:bCs/>
          <w:sz w:val="32"/>
          <w:szCs w:val="32"/>
        </w:rPr>
        <w:br w:type="page"/>
      </w:r>
    </w:p>
    <w:p w14:paraId="46515A95" w14:textId="77777777" w:rsidR="004D3247" w:rsidRPr="004D3247" w:rsidRDefault="004D3247" w:rsidP="00EF3EE0">
      <w:pPr>
        <w:spacing w:after="120" w:line="240" w:lineRule="auto"/>
        <w:jc w:val="both"/>
        <w:rPr>
          <w:rFonts w:cs="Times New Roman"/>
          <w:b/>
          <w:bCs/>
          <w:sz w:val="32"/>
          <w:szCs w:val="32"/>
        </w:rPr>
      </w:pPr>
    </w:p>
    <w:sdt>
      <w:sdtPr>
        <w:rPr>
          <w:rFonts w:ascii="Times New Roman" w:eastAsiaTheme="minorHAnsi" w:hAnsi="Times New Roman" w:cstheme="minorBidi"/>
          <w:color w:val="auto"/>
          <w:kern w:val="2"/>
          <w:sz w:val="24"/>
          <w:szCs w:val="24"/>
          <w14:ligatures w14:val="standardContextual"/>
        </w:rPr>
        <w:id w:val="113416741"/>
        <w:docPartObj>
          <w:docPartGallery w:val="Table of Contents"/>
          <w:docPartUnique/>
        </w:docPartObj>
      </w:sdtPr>
      <w:sdtEndPr>
        <w:rPr>
          <w:b/>
          <w:bCs/>
        </w:rPr>
      </w:sdtEndPr>
      <w:sdtContent>
        <w:p w14:paraId="646E5B32" w14:textId="77777777" w:rsidR="000558AB" w:rsidRPr="004D3247" w:rsidRDefault="000558AB" w:rsidP="004D3247">
          <w:pPr>
            <w:pStyle w:val="af0"/>
            <w:jc w:val="center"/>
            <w:rPr>
              <w:rFonts w:ascii="Times New Roman" w:hAnsi="Times New Roman" w:cs="Times New Roman"/>
              <w:b/>
              <w:bCs/>
              <w:color w:val="auto"/>
            </w:rPr>
          </w:pPr>
          <w:r w:rsidRPr="004D3247">
            <w:rPr>
              <w:rFonts w:ascii="Times New Roman" w:hAnsi="Times New Roman" w:cs="Times New Roman"/>
              <w:b/>
              <w:bCs/>
              <w:color w:val="auto"/>
            </w:rPr>
            <w:t>Περιεχόμενα</w:t>
          </w:r>
        </w:p>
        <w:p w14:paraId="5E9375E7" w14:textId="60A23285" w:rsidR="00DE598F" w:rsidRDefault="000C6D29">
          <w:pPr>
            <w:pStyle w:val="12"/>
            <w:tabs>
              <w:tab w:val="right" w:leader="dot" w:pos="8296"/>
            </w:tabs>
            <w:rPr>
              <w:rFonts w:asciiTheme="minorHAnsi" w:eastAsiaTheme="minorEastAsia" w:hAnsiTheme="minorHAnsi"/>
              <w:noProof/>
              <w:lang w:val="en-GB" w:eastAsia="en-GB"/>
            </w:rPr>
          </w:pPr>
          <w:r>
            <w:fldChar w:fldCharType="begin"/>
          </w:r>
          <w:r>
            <w:instrText xml:space="preserve"> TOC \o "1-5" \h \z \u </w:instrText>
          </w:r>
          <w:r>
            <w:fldChar w:fldCharType="separate"/>
          </w:r>
          <w:hyperlink w:anchor="_Toc243355264" w:history="1">
            <w:r w:rsidR="00DE598F" w:rsidRPr="00385616">
              <w:rPr>
                <w:rStyle w:val="-"/>
                <w:rFonts w:cs="Times New Roman"/>
                <w:b/>
                <w:bCs/>
                <w:noProof/>
              </w:rPr>
              <w:t>Περιεχόμενα Εικόνων</w:t>
            </w:r>
            <w:r w:rsidR="00DE598F">
              <w:rPr>
                <w:noProof/>
                <w:webHidden/>
              </w:rPr>
              <w:tab/>
            </w:r>
            <w:r w:rsidR="00DE598F">
              <w:rPr>
                <w:noProof/>
                <w:webHidden/>
              </w:rPr>
              <w:fldChar w:fldCharType="begin"/>
            </w:r>
            <w:r w:rsidR="00DE598F">
              <w:rPr>
                <w:noProof/>
                <w:webHidden/>
              </w:rPr>
              <w:instrText xml:space="preserve"> PAGEREF _Toc243355264 \h </w:instrText>
            </w:r>
            <w:r w:rsidR="00DE598F">
              <w:rPr>
                <w:noProof/>
                <w:webHidden/>
              </w:rPr>
            </w:r>
            <w:r w:rsidR="00DE598F">
              <w:rPr>
                <w:noProof/>
                <w:webHidden/>
              </w:rPr>
              <w:fldChar w:fldCharType="separate"/>
            </w:r>
            <w:r w:rsidR="00DE598F">
              <w:rPr>
                <w:noProof/>
                <w:webHidden/>
              </w:rPr>
              <w:t>15</w:t>
            </w:r>
            <w:r w:rsidR="00DE598F">
              <w:rPr>
                <w:noProof/>
                <w:webHidden/>
              </w:rPr>
              <w:fldChar w:fldCharType="end"/>
            </w:r>
          </w:hyperlink>
        </w:p>
        <w:p w14:paraId="5A1EFF46" w14:textId="43CB8DB7" w:rsidR="00DE598F" w:rsidRDefault="00DE598F">
          <w:pPr>
            <w:pStyle w:val="12"/>
            <w:tabs>
              <w:tab w:val="left" w:pos="480"/>
              <w:tab w:val="right" w:leader="dot" w:pos="8296"/>
            </w:tabs>
            <w:rPr>
              <w:rFonts w:asciiTheme="minorHAnsi" w:eastAsiaTheme="minorEastAsia" w:hAnsiTheme="minorHAnsi"/>
              <w:noProof/>
              <w:lang w:val="en-GB" w:eastAsia="en-GB"/>
            </w:rPr>
          </w:pPr>
          <w:hyperlink w:anchor="_Toc243355265" w:history="1">
            <w:r w:rsidRPr="00385616">
              <w:rPr>
                <w:rStyle w:val="-"/>
                <w:noProof/>
              </w:rPr>
              <w:t>1</w:t>
            </w:r>
            <w:r>
              <w:rPr>
                <w:rFonts w:asciiTheme="minorHAnsi" w:eastAsiaTheme="minorEastAsia" w:hAnsiTheme="minorHAnsi"/>
                <w:noProof/>
                <w:lang w:val="en-GB" w:eastAsia="en-GB"/>
              </w:rPr>
              <w:tab/>
            </w:r>
            <w:r w:rsidRPr="00385616">
              <w:rPr>
                <w:rStyle w:val="-"/>
                <w:noProof/>
              </w:rPr>
              <w:t>Εισαγωγή</w:t>
            </w:r>
            <w:r>
              <w:rPr>
                <w:noProof/>
                <w:webHidden/>
              </w:rPr>
              <w:tab/>
            </w:r>
            <w:r>
              <w:rPr>
                <w:noProof/>
                <w:webHidden/>
              </w:rPr>
              <w:fldChar w:fldCharType="begin"/>
            </w:r>
            <w:r>
              <w:rPr>
                <w:noProof/>
                <w:webHidden/>
              </w:rPr>
              <w:instrText xml:space="preserve"> PAGEREF _Toc243355265 \h </w:instrText>
            </w:r>
            <w:r>
              <w:rPr>
                <w:noProof/>
                <w:webHidden/>
              </w:rPr>
            </w:r>
            <w:r>
              <w:rPr>
                <w:noProof/>
                <w:webHidden/>
              </w:rPr>
              <w:fldChar w:fldCharType="separate"/>
            </w:r>
            <w:r>
              <w:rPr>
                <w:noProof/>
                <w:webHidden/>
              </w:rPr>
              <w:t>17</w:t>
            </w:r>
            <w:r>
              <w:rPr>
                <w:noProof/>
                <w:webHidden/>
              </w:rPr>
              <w:fldChar w:fldCharType="end"/>
            </w:r>
          </w:hyperlink>
        </w:p>
        <w:p w14:paraId="723410E5" w14:textId="283CFC23"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266" w:history="1">
            <w:r w:rsidRPr="00385616">
              <w:rPr>
                <w:rStyle w:val="-"/>
                <w:noProof/>
              </w:rPr>
              <w:t>1.1</w:t>
            </w:r>
            <w:r>
              <w:rPr>
                <w:rFonts w:asciiTheme="minorHAnsi" w:eastAsiaTheme="minorEastAsia" w:hAnsiTheme="minorHAnsi"/>
                <w:noProof/>
                <w:lang w:val="en-GB" w:eastAsia="en-GB"/>
              </w:rPr>
              <w:tab/>
            </w:r>
            <w:r w:rsidRPr="00385616">
              <w:rPr>
                <w:rStyle w:val="-"/>
                <w:noProof/>
              </w:rPr>
              <w:t>Γενικό πλαίσιο</w:t>
            </w:r>
            <w:r>
              <w:rPr>
                <w:noProof/>
                <w:webHidden/>
              </w:rPr>
              <w:tab/>
            </w:r>
            <w:r>
              <w:rPr>
                <w:noProof/>
                <w:webHidden/>
              </w:rPr>
              <w:fldChar w:fldCharType="begin"/>
            </w:r>
            <w:r>
              <w:rPr>
                <w:noProof/>
                <w:webHidden/>
              </w:rPr>
              <w:instrText xml:space="preserve"> PAGEREF _Toc243355266 \h </w:instrText>
            </w:r>
            <w:r>
              <w:rPr>
                <w:noProof/>
                <w:webHidden/>
              </w:rPr>
            </w:r>
            <w:r>
              <w:rPr>
                <w:noProof/>
                <w:webHidden/>
              </w:rPr>
              <w:fldChar w:fldCharType="separate"/>
            </w:r>
            <w:r>
              <w:rPr>
                <w:noProof/>
                <w:webHidden/>
              </w:rPr>
              <w:t>17</w:t>
            </w:r>
            <w:r>
              <w:rPr>
                <w:noProof/>
                <w:webHidden/>
              </w:rPr>
              <w:fldChar w:fldCharType="end"/>
            </w:r>
          </w:hyperlink>
        </w:p>
        <w:p w14:paraId="527913AE" w14:textId="3CC36BDA"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267" w:history="1">
            <w:r w:rsidRPr="00385616">
              <w:rPr>
                <w:rStyle w:val="-"/>
                <w:noProof/>
              </w:rPr>
              <w:t>1.1.1</w:t>
            </w:r>
            <w:r>
              <w:rPr>
                <w:rFonts w:asciiTheme="minorHAnsi" w:eastAsiaTheme="minorEastAsia" w:hAnsiTheme="minorHAnsi"/>
                <w:noProof/>
                <w:lang w:val="en-GB" w:eastAsia="en-GB"/>
              </w:rPr>
              <w:tab/>
            </w:r>
            <w:r w:rsidRPr="00385616">
              <w:rPr>
                <w:rStyle w:val="-"/>
                <w:noProof/>
              </w:rPr>
              <w:t>Η σημασία των θαλάσσιων μεταφορών για το παγκόσμιο εμπόριο</w:t>
            </w:r>
            <w:r>
              <w:rPr>
                <w:noProof/>
                <w:webHidden/>
              </w:rPr>
              <w:tab/>
            </w:r>
            <w:r>
              <w:rPr>
                <w:noProof/>
                <w:webHidden/>
              </w:rPr>
              <w:fldChar w:fldCharType="begin"/>
            </w:r>
            <w:r>
              <w:rPr>
                <w:noProof/>
                <w:webHidden/>
              </w:rPr>
              <w:instrText xml:space="preserve"> PAGEREF _Toc243355267 \h </w:instrText>
            </w:r>
            <w:r>
              <w:rPr>
                <w:noProof/>
                <w:webHidden/>
              </w:rPr>
            </w:r>
            <w:r>
              <w:rPr>
                <w:noProof/>
                <w:webHidden/>
              </w:rPr>
              <w:fldChar w:fldCharType="separate"/>
            </w:r>
            <w:r>
              <w:rPr>
                <w:noProof/>
                <w:webHidden/>
              </w:rPr>
              <w:t>17</w:t>
            </w:r>
            <w:r>
              <w:rPr>
                <w:noProof/>
                <w:webHidden/>
              </w:rPr>
              <w:fldChar w:fldCharType="end"/>
            </w:r>
          </w:hyperlink>
        </w:p>
        <w:p w14:paraId="09F4E909" w14:textId="0CA6C03D"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268" w:history="1">
            <w:r w:rsidRPr="00385616">
              <w:rPr>
                <w:rStyle w:val="-"/>
                <w:noProof/>
              </w:rPr>
              <w:t>1.1.2</w:t>
            </w:r>
            <w:r>
              <w:rPr>
                <w:rFonts w:asciiTheme="minorHAnsi" w:eastAsiaTheme="minorEastAsia" w:hAnsiTheme="minorHAnsi"/>
                <w:noProof/>
                <w:lang w:val="en-GB" w:eastAsia="en-GB"/>
              </w:rPr>
              <w:tab/>
            </w:r>
            <w:r w:rsidRPr="00385616">
              <w:rPr>
                <w:rStyle w:val="-"/>
                <w:noProof/>
              </w:rPr>
              <w:t>Εκπομπές της ναυτιλίας</w:t>
            </w:r>
            <w:r>
              <w:rPr>
                <w:noProof/>
                <w:webHidden/>
              </w:rPr>
              <w:tab/>
            </w:r>
            <w:r>
              <w:rPr>
                <w:noProof/>
                <w:webHidden/>
              </w:rPr>
              <w:fldChar w:fldCharType="begin"/>
            </w:r>
            <w:r>
              <w:rPr>
                <w:noProof/>
                <w:webHidden/>
              </w:rPr>
              <w:instrText xml:space="preserve"> PAGEREF _Toc243355268 \h </w:instrText>
            </w:r>
            <w:r>
              <w:rPr>
                <w:noProof/>
                <w:webHidden/>
              </w:rPr>
            </w:r>
            <w:r>
              <w:rPr>
                <w:noProof/>
                <w:webHidden/>
              </w:rPr>
              <w:fldChar w:fldCharType="separate"/>
            </w:r>
            <w:r>
              <w:rPr>
                <w:noProof/>
                <w:webHidden/>
              </w:rPr>
              <w:t>17</w:t>
            </w:r>
            <w:r>
              <w:rPr>
                <w:noProof/>
                <w:webHidden/>
              </w:rPr>
              <w:fldChar w:fldCharType="end"/>
            </w:r>
          </w:hyperlink>
        </w:p>
        <w:p w14:paraId="139CA430" w14:textId="7B0715BF"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269" w:history="1">
            <w:r w:rsidRPr="00385616">
              <w:rPr>
                <w:rStyle w:val="-"/>
                <w:noProof/>
              </w:rPr>
              <w:t>1.1.3</w:t>
            </w:r>
            <w:r>
              <w:rPr>
                <w:rFonts w:asciiTheme="minorHAnsi" w:eastAsiaTheme="minorEastAsia" w:hAnsiTheme="minorHAnsi"/>
                <w:noProof/>
                <w:lang w:val="en-GB" w:eastAsia="en-GB"/>
              </w:rPr>
              <w:tab/>
            </w:r>
            <w:r w:rsidRPr="00385616">
              <w:rPr>
                <w:rStyle w:val="-"/>
                <w:noProof/>
              </w:rPr>
              <w:t>Κατανάλωση ενέργειας στη ναυτιλία</w:t>
            </w:r>
            <w:r>
              <w:rPr>
                <w:noProof/>
                <w:webHidden/>
              </w:rPr>
              <w:tab/>
            </w:r>
            <w:r>
              <w:rPr>
                <w:noProof/>
                <w:webHidden/>
              </w:rPr>
              <w:fldChar w:fldCharType="begin"/>
            </w:r>
            <w:r>
              <w:rPr>
                <w:noProof/>
                <w:webHidden/>
              </w:rPr>
              <w:instrText xml:space="preserve"> PAGEREF _Toc243355269 \h </w:instrText>
            </w:r>
            <w:r>
              <w:rPr>
                <w:noProof/>
                <w:webHidden/>
              </w:rPr>
            </w:r>
            <w:r>
              <w:rPr>
                <w:noProof/>
                <w:webHidden/>
              </w:rPr>
              <w:fldChar w:fldCharType="separate"/>
            </w:r>
            <w:r>
              <w:rPr>
                <w:noProof/>
                <w:webHidden/>
              </w:rPr>
              <w:t>18</w:t>
            </w:r>
            <w:r>
              <w:rPr>
                <w:noProof/>
                <w:webHidden/>
              </w:rPr>
              <w:fldChar w:fldCharType="end"/>
            </w:r>
          </w:hyperlink>
        </w:p>
        <w:p w14:paraId="7B537577" w14:textId="225D5017"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270" w:history="1">
            <w:r w:rsidRPr="00385616">
              <w:rPr>
                <w:rStyle w:val="-"/>
                <w:noProof/>
              </w:rPr>
              <w:t>1.1.4</w:t>
            </w:r>
            <w:r>
              <w:rPr>
                <w:rFonts w:asciiTheme="minorHAnsi" w:eastAsiaTheme="minorEastAsia" w:hAnsiTheme="minorHAnsi"/>
                <w:noProof/>
                <w:lang w:val="en-GB" w:eastAsia="en-GB"/>
              </w:rPr>
              <w:tab/>
            </w:r>
            <w:r w:rsidRPr="00385616">
              <w:rPr>
                <w:rStyle w:val="-"/>
                <w:noProof/>
              </w:rPr>
              <w:t>Διεθνείς κανονισμοί και πολιτικές απανθρακοποίησης</w:t>
            </w:r>
            <w:r>
              <w:rPr>
                <w:noProof/>
                <w:webHidden/>
              </w:rPr>
              <w:tab/>
            </w:r>
            <w:r>
              <w:rPr>
                <w:noProof/>
                <w:webHidden/>
              </w:rPr>
              <w:fldChar w:fldCharType="begin"/>
            </w:r>
            <w:r>
              <w:rPr>
                <w:noProof/>
                <w:webHidden/>
              </w:rPr>
              <w:instrText xml:space="preserve"> PAGEREF _Toc243355270 \h </w:instrText>
            </w:r>
            <w:r>
              <w:rPr>
                <w:noProof/>
                <w:webHidden/>
              </w:rPr>
            </w:r>
            <w:r>
              <w:rPr>
                <w:noProof/>
                <w:webHidden/>
              </w:rPr>
              <w:fldChar w:fldCharType="separate"/>
            </w:r>
            <w:r>
              <w:rPr>
                <w:noProof/>
                <w:webHidden/>
              </w:rPr>
              <w:t>19</w:t>
            </w:r>
            <w:r>
              <w:rPr>
                <w:noProof/>
                <w:webHidden/>
              </w:rPr>
              <w:fldChar w:fldCharType="end"/>
            </w:r>
          </w:hyperlink>
        </w:p>
        <w:p w14:paraId="4BCE40A1" w14:textId="68AA7235"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271" w:history="1">
            <w:r w:rsidRPr="00385616">
              <w:rPr>
                <w:rStyle w:val="-"/>
                <w:noProof/>
              </w:rPr>
              <w:t>1.1.5</w:t>
            </w:r>
            <w:r>
              <w:rPr>
                <w:rFonts w:asciiTheme="minorHAnsi" w:eastAsiaTheme="minorEastAsia" w:hAnsiTheme="minorHAnsi"/>
                <w:noProof/>
                <w:lang w:val="en-GB" w:eastAsia="en-GB"/>
              </w:rPr>
              <w:tab/>
            </w:r>
            <w:r w:rsidRPr="00385616">
              <w:rPr>
                <w:rStyle w:val="-"/>
                <w:noProof/>
              </w:rPr>
              <w:t>Μέτρα ενεργειακής απόδοσης στη ναυτιλία</w:t>
            </w:r>
            <w:r>
              <w:rPr>
                <w:noProof/>
                <w:webHidden/>
              </w:rPr>
              <w:tab/>
            </w:r>
            <w:r>
              <w:rPr>
                <w:noProof/>
                <w:webHidden/>
              </w:rPr>
              <w:fldChar w:fldCharType="begin"/>
            </w:r>
            <w:r>
              <w:rPr>
                <w:noProof/>
                <w:webHidden/>
              </w:rPr>
              <w:instrText xml:space="preserve"> PAGEREF _Toc243355271 \h </w:instrText>
            </w:r>
            <w:r>
              <w:rPr>
                <w:noProof/>
                <w:webHidden/>
              </w:rPr>
            </w:r>
            <w:r>
              <w:rPr>
                <w:noProof/>
                <w:webHidden/>
              </w:rPr>
              <w:fldChar w:fldCharType="separate"/>
            </w:r>
            <w:r>
              <w:rPr>
                <w:noProof/>
                <w:webHidden/>
              </w:rPr>
              <w:t>20</w:t>
            </w:r>
            <w:r>
              <w:rPr>
                <w:noProof/>
                <w:webHidden/>
              </w:rPr>
              <w:fldChar w:fldCharType="end"/>
            </w:r>
          </w:hyperlink>
        </w:p>
        <w:p w14:paraId="429237A1" w14:textId="1D0AC55F"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272" w:history="1">
            <w:r w:rsidRPr="00385616">
              <w:rPr>
                <w:rStyle w:val="-"/>
                <w:noProof/>
              </w:rPr>
              <w:t>1.1.6</w:t>
            </w:r>
            <w:r>
              <w:rPr>
                <w:rFonts w:asciiTheme="minorHAnsi" w:eastAsiaTheme="minorEastAsia" w:hAnsiTheme="minorHAnsi"/>
                <w:noProof/>
                <w:lang w:val="en-GB" w:eastAsia="en-GB"/>
              </w:rPr>
              <w:tab/>
            </w:r>
            <w:r w:rsidRPr="00385616">
              <w:rPr>
                <w:rStyle w:val="-"/>
                <w:noProof/>
              </w:rPr>
              <w:t>Οδοί απανθρακοποίησης: εναλλακτικά καύσιμα και τεχνολογίες πρόωσης στη ναυτιλία</w:t>
            </w:r>
            <w:r>
              <w:rPr>
                <w:noProof/>
                <w:webHidden/>
              </w:rPr>
              <w:tab/>
            </w:r>
            <w:r>
              <w:rPr>
                <w:noProof/>
                <w:webHidden/>
              </w:rPr>
              <w:fldChar w:fldCharType="begin"/>
            </w:r>
            <w:r>
              <w:rPr>
                <w:noProof/>
                <w:webHidden/>
              </w:rPr>
              <w:instrText xml:space="preserve"> PAGEREF _Toc243355272 \h </w:instrText>
            </w:r>
            <w:r>
              <w:rPr>
                <w:noProof/>
                <w:webHidden/>
              </w:rPr>
            </w:r>
            <w:r>
              <w:rPr>
                <w:noProof/>
                <w:webHidden/>
              </w:rPr>
              <w:fldChar w:fldCharType="separate"/>
            </w:r>
            <w:r>
              <w:rPr>
                <w:noProof/>
                <w:webHidden/>
              </w:rPr>
              <w:t>21</w:t>
            </w:r>
            <w:r>
              <w:rPr>
                <w:noProof/>
                <w:webHidden/>
              </w:rPr>
              <w:fldChar w:fldCharType="end"/>
            </w:r>
          </w:hyperlink>
        </w:p>
        <w:p w14:paraId="7E6CFED7" w14:textId="31B120AF" w:rsidR="00DE598F" w:rsidRDefault="00DE598F">
          <w:pPr>
            <w:pStyle w:val="41"/>
            <w:tabs>
              <w:tab w:val="left" w:pos="1680"/>
              <w:tab w:val="right" w:leader="dot" w:pos="8296"/>
            </w:tabs>
            <w:rPr>
              <w:rFonts w:asciiTheme="minorHAnsi" w:eastAsiaTheme="minorEastAsia" w:hAnsiTheme="minorHAnsi"/>
              <w:noProof/>
              <w:lang w:val="en-GB" w:eastAsia="en-GB"/>
            </w:rPr>
          </w:pPr>
          <w:hyperlink w:anchor="_Toc243355273" w:history="1">
            <w:r w:rsidRPr="00385616">
              <w:rPr>
                <w:rStyle w:val="-"/>
                <w:noProof/>
              </w:rPr>
              <w:t>1.1.6.1</w:t>
            </w:r>
            <w:r>
              <w:rPr>
                <w:rFonts w:asciiTheme="minorHAnsi" w:eastAsiaTheme="minorEastAsia" w:hAnsiTheme="minorHAnsi"/>
                <w:noProof/>
                <w:lang w:val="en-GB" w:eastAsia="en-GB"/>
              </w:rPr>
              <w:tab/>
            </w:r>
            <w:r w:rsidRPr="00385616">
              <w:rPr>
                <w:rStyle w:val="-"/>
                <w:noProof/>
              </w:rPr>
              <w:t>Αμμωνία (NH</w:t>
            </w:r>
            <w:r w:rsidRPr="00385616">
              <w:rPr>
                <w:rStyle w:val="-"/>
                <w:noProof/>
                <w:vertAlign w:val="subscript"/>
              </w:rPr>
              <w:t>3</w:t>
            </w:r>
            <w:r w:rsidRPr="00385616">
              <w:rPr>
                <w:rStyle w:val="-"/>
                <w:noProof/>
              </w:rPr>
              <w:t>)</w:t>
            </w:r>
            <w:r>
              <w:rPr>
                <w:noProof/>
                <w:webHidden/>
              </w:rPr>
              <w:tab/>
            </w:r>
            <w:r>
              <w:rPr>
                <w:noProof/>
                <w:webHidden/>
              </w:rPr>
              <w:fldChar w:fldCharType="begin"/>
            </w:r>
            <w:r>
              <w:rPr>
                <w:noProof/>
                <w:webHidden/>
              </w:rPr>
              <w:instrText xml:space="preserve"> PAGEREF _Toc243355273 \h </w:instrText>
            </w:r>
            <w:r>
              <w:rPr>
                <w:noProof/>
                <w:webHidden/>
              </w:rPr>
            </w:r>
            <w:r>
              <w:rPr>
                <w:noProof/>
                <w:webHidden/>
              </w:rPr>
              <w:fldChar w:fldCharType="separate"/>
            </w:r>
            <w:r>
              <w:rPr>
                <w:noProof/>
                <w:webHidden/>
              </w:rPr>
              <w:t>21</w:t>
            </w:r>
            <w:r>
              <w:rPr>
                <w:noProof/>
                <w:webHidden/>
              </w:rPr>
              <w:fldChar w:fldCharType="end"/>
            </w:r>
          </w:hyperlink>
        </w:p>
        <w:p w14:paraId="367978C4" w14:textId="6BC792B7" w:rsidR="00DE598F" w:rsidRDefault="00DE598F">
          <w:pPr>
            <w:pStyle w:val="41"/>
            <w:tabs>
              <w:tab w:val="left" w:pos="1680"/>
              <w:tab w:val="right" w:leader="dot" w:pos="8296"/>
            </w:tabs>
            <w:rPr>
              <w:rFonts w:asciiTheme="minorHAnsi" w:eastAsiaTheme="minorEastAsia" w:hAnsiTheme="minorHAnsi"/>
              <w:noProof/>
              <w:lang w:val="en-GB" w:eastAsia="en-GB"/>
            </w:rPr>
          </w:pPr>
          <w:hyperlink w:anchor="_Toc243355274" w:history="1">
            <w:r w:rsidRPr="00385616">
              <w:rPr>
                <w:rStyle w:val="-"/>
                <w:noProof/>
              </w:rPr>
              <w:t>1.1.6.2</w:t>
            </w:r>
            <w:r>
              <w:rPr>
                <w:rFonts w:asciiTheme="minorHAnsi" w:eastAsiaTheme="minorEastAsia" w:hAnsiTheme="minorHAnsi"/>
                <w:noProof/>
                <w:lang w:val="en-GB" w:eastAsia="en-GB"/>
              </w:rPr>
              <w:tab/>
            </w:r>
            <w:r w:rsidRPr="00385616">
              <w:rPr>
                <w:rStyle w:val="-"/>
                <w:noProof/>
              </w:rPr>
              <w:t>Υδρογόνο (H</w:t>
            </w:r>
            <w:r w:rsidRPr="00385616">
              <w:rPr>
                <w:rStyle w:val="-"/>
                <w:noProof/>
                <w:vertAlign w:val="subscript"/>
              </w:rPr>
              <w:t>2</w:t>
            </w:r>
            <w:r w:rsidRPr="00385616">
              <w:rPr>
                <w:rStyle w:val="-"/>
                <w:noProof/>
              </w:rPr>
              <w:t>)</w:t>
            </w:r>
            <w:r>
              <w:rPr>
                <w:noProof/>
                <w:webHidden/>
              </w:rPr>
              <w:tab/>
            </w:r>
            <w:r>
              <w:rPr>
                <w:noProof/>
                <w:webHidden/>
              </w:rPr>
              <w:fldChar w:fldCharType="begin"/>
            </w:r>
            <w:r>
              <w:rPr>
                <w:noProof/>
                <w:webHidden/>
              </w:rPr>
              <w:instrText xml:space="preserve"> PAGEREF _Toc243355274 \h </w:instrText>
            </w:r>
            <w:r>
              <w:rPr>
                <w:noProof/>
                <w:webHidden/>
              </w:rPr>
            </w:r>
            <w:r>
              <w:rPr>
                <w:noProof/>
                <w:webHidden/>
              </w:rPr>
              <w:fldChar w:fldCharType="separate"/>
            </w:r>
            <w:r>
              <w:rPr>
                <w:noProof/>
                <w:webHidden/>
              </w:rPr>
              <w:t>22</w:t>
            </w:r>
            <w:r>
              <w:rPr>
                <w:noProof/>
                <w:webHidden/>
              </w:rPr>
              <w:fldChar w:fldCharType="end"/>
            </w:r>
          </w:hyperlink>
        </w:p>
        <w:p w14:paraId="6D1AB804" w14:textId="5AB387D7"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275" w:history="1">
            <w:r w:rsidRPr="00385616">
              <w:rPr>
                <w:rStyle w:val="-"/>
                <w:noProof/>
              </w:rPr>
              <w:t>1.1.7</w:t>
            </w:r>
            <w:r>
              <w:rPr>
                <w:rFonts w:asciiTheme="minorHAnsi" w:eastAsiaTheme="minorEastAsia" w:hAnsiTheme="minorHAnsi"/>
                <w:noProof/>
                <w:lang w:val="en-GB" w:eastAsia="en-GB"/>
              </w:rPr>
              <w:tab/>
            </w:r>
            <w:r w:rsidRPr="00385616">
              <w:rPr>
                <w:rStyle w:val="-"/>
                <w:noProof/>
              </w:rPr>
              <w:t>Οικονομικές προκλήσεις στον ναυτιλιακό κλάδο</w:t>
            </w:r>
            <w:r>
              <w:rPr>
                <w:noProof/>
                <w:webHidden/>
              </w:rPr>
              <w:tab/>
            </w:r>
            <w:r>
              <w:rPr>
                <w:noProof/>
                <w:webHidden/>
              </w:rPr>
              <w:fldChar w:fldCharType="begin"/>
            </w:r>
            <w:r>
              <w:rPr>
                <w:noProof/>
                <w:webHidden/>
              </w:rPr>
              <w:instrText xml:space="preserve"> PAGEREF _Toc243355275 \h </w:instrText>
            </w:r>
            <w:r>
              <w:rPr>
                <w:noProof/>
                <w:webHidden/>
              </w:rPr>
            </w:r>
            <w:r>
              <w:rPr>
                <w:noProof/>
                <w:webHidden/>
              </w:rPr>
              <w:fldChar w:fldCharType="separate"/>
            </w:r>
            <w:r>
              <w:rPr>
                <w:noProof/>
                <w:webHidden/>
              </w:rPr>
              <w:t>35</w:t>
            </w:r>
            <w:r>
              <w:rPr>
                <w:noProof/>
                <w:webHidden/>
              </w:rPr>
              <w:fldChar w:fldCharType="end"/>
            </w:r>
          </w:hyperlink>
        </w:p>
        <w:p w14:paraId="35124FDD" w14:textId="28B5BF0F"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276" w:history="1">
            <w:r w:rsidRPr="00385616">
              <w:rPr>
                <w:rStyle w:val="-"/>
                <w:noProof/>
              </w:rPr>
              <w:t>1.1.8</w:t>
            </w:r>
            <w:r>
              <w:rPr>
                <w:rFonts w:asciiTheme="minorHAnsi" w:eastAsiaTheme="minorEastAsia" w:hAnsiTheme="minorHAnsi"/>
                <w:noProof/>
                <w:lang w:val="en-GB" w:eastAsia="en-GB"/>
              </w:rPr>
              <w:tab/>
            </w:r>
            <w:r w:rsidRPr="00385616">
              <w:rPr>
                <w:rStyle w:val="-"/>
                <w:noProof/>
              </w:rPr>
              <w:t>Τεχνολογίες αιολικής υποβοήθησης της πρόωσης</w:t>
            </w:r>
            <w:r>
              <w:rPr>
                <w:noProof/>
                <w:webHidden/>
              </w:rPr>
              <w:tab/>
            </w:r>
            <w:r>
              <w:rPr>
                <w:noProof/>
                <w:webHidden/>
              </w:rPr>
              <w:fldChar w:fldCharType="begin"/>
            </w:r>
            <w:r>
              <w:rPr>
                <w:noProof/>
                <w:webHidden/>
              </w:rPr>
              <w:instrText xml:space="preserve"> PAGEREF _Toc243355276 \h </w:instrText>
            </w:r>
            <w:r>
              <w:rPr>
                <w:noProof/>
                <w:webHidden/>
              </w:rPr>
            </w:r>
            <w:r>
              <w:rPr>
                <w:noProof/>
                <w:webHidden/>
              </w:rPr>
              <w:fldChar w:fldCharType="separate"/>
            </w:r>
            <w:r>
              <w:rPr>
                <w:noProof/>
                <w:webHidden/>
              </w:rPr>
              <w:t>36</w:t>
            </w:r>
            <w:r>
              <w:rPr>
                <w:noProof/>
                <w:webHidden/>
              </w:rPr>
              <w:fldChar w:fldCharType="end"/>
            </w:r>
          </w:hyperlink>
        </w:p>
        <w:p w14:paraId="1A8EA608" w14:textId="4F038277"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277" w:history="1">
            <w:r w:rsidRPr="00385616">
              <w:rPr>
                <w:rStyle w:val="-"/>
                <w:noProof/>
              </w:rPr>
              <w:t>1.2</w:t>
            </w:r>
            <w:r>
              <w:rPr>
                <w:rFonts w:asciiTheme="minorHAnsi" w:eastAsiaTheme="minorEastAsia" w:hAnsiTheme="minorHAnsi"/>
                <w:noProof/>
                <w:lang w:val="en-GB" w:eastAsia="en-GB"/>
              </w:rPr>
              <w:tab/>
            </w:r>
            <w:r w:rsidRPr="00385616">
              <w:rPr>
                <w:rStyle w:val="-"/>
                <w:noProof/>
              </w:rPr>
              <w:t>Σκοπός της διπλωματικής εργασίας</w:t>
            </w:r>
            <w:r>
              <w:rPr>
                <w:noProof/>
                <w:webHidden/>
              </w:rPr>
              <w:tab/>
            </w:r>
            <w:r>
              <w:rPr>
                <w:noProof/>
                <w:webHidden/>
              </w:rPr>
              <w:fldChar w:fldCharType="begin"/>
            </w:r>
            <w:r>
              <w:rPr>
                <w:noProof/>
                <w:webHidden/>
              </w:rPr>
              <w:instrText xml:space="preserve"> PAGEREF _Toc243355277 \h </w:instrText>
            </w:r>
            <w:r>
              <w:rPr>
                <w:noProof/>
                <w:webHidden/>
              </w:rPr>
            </w:r>
            <w:r>
              <w:rPr>
                <w:noProof/>
                <w:webHidden/>
              </w:rPr>
              <w:fldChar w:fldCharType="separate"/>
            </w:r>
            <w:r>
              <w:rPr>
                <w:noProof/>
                <w:webHidden/>
              </w:rPr>
              <w:t>37</w:t>
            </w:r>
            <w:r>
              <w:rPr>
                <w:noProof/>
                <w:webHidden/>
              </w:rPr>
              <w:fldChar w:fldCharType="end"/>
            </w:r>
          </w:hyperlink>
        </w:p>
        <w:p w14:paraId="6D844517" w14:textId="229F4111" w:rsidR="00DE598F" w:rsidRDefault="00DE598F">
          <w:pPr>
            <w:pStyle w:val="12"/>
            <w:tabs>
              <w:tab w:val="left" w:pos="480"/>
              <w:tab w:val="right" w:leader="dot" w:pos="8296"/>
            </w:tabs>
            <w:rPr>
              <w:rFonts w:asciiTheme="minorHAnsi" w:eastAsiaTheme="minorEastAsia" w:hAnsiTheme="minorHAnsi"/>
              <w:noProof/>
              <w:lang w:val="en-GB" w:eastAsia="en-GB"/>
            </w:rPr>
          </w:pPr>
          <w:hyperlink w:anchor="_Toc243355278" w:history="1">
            <w:r w:rsidRPr="00385616">
              <w:rPr>
                <w:rStyle w:val="-"/>
                <w:noProof/>
              </w:rPr>
              <w:t>2</w:t>
            </w:r>
            <w:r>
              <w:rPr>
                <w:rFonts w:asciiTheme="minorHAnsi" w:eastAsiaTheme="minorEastAsia" w:hAnsiTheme="minorHAnsi"/>
                <w:noProof/>
                <w:lang w:val="en-GB" w:eastAsia="en-GB"/>
              </w:rPr>
              <w:tab/>
            </w:r>
            <w:r w:rsidRPr="00385616">
              <w:rPr>
                <w:rStyle w:val="-"/>
                <w:noProof/>
              </w:rPr>
              <w:t>Συστήματα αιολικής υποβοήθησης της πρόωσης του πλοίου (</w:t>
            </w:r>
            <w:r w:rsidRPr="00385616">
              <w:rPr>
                <w:rStyle w:val="-"/>
                <w:noProof/>
                <w:lang w:val="en-US"/>
              </w:rPr>
              <w:t>WAPS</w:t>
            </w:r>
            <w:r w:rsidRPr="00385616">
              <w:rPr>
                <w:rStyle w:val="-"/>
                <w:noProof/>
              </w:rPr>
              <w:t>)</w:t>
            </w:r>
            <w:r>
              <w:rPr>
                <w:noProof/>
                <w:webHidden/>
              </w:rPr>
              <w:tab/>
            </w:r>
            <w:r>
              <w:rPr>
                <w:noProof/>
                <w:webHidden/>
              </w:rPr>
              <w:fldChar w:fldCharType="begin"/>
            </w:r>
            <w:r>
              <w:rPr>
                <w:noProof/>
                <w:webHidden/>
              </w:rPr>
              <w:instrText xml:space="preserve"> PAGEREF _Toc243355278 \h </w:instrText>
            </w:r>
            <w:r>
              <w:rPr>
                <w:noProof/>
                <w:webHidden/>
              </w:rPr>
            </w:r>
            <w:r>
              <w:rPr>
                <w:noProof/>
                <w:webHidden/>
              </w:rPr>
              <w:fldChar w:fldCharType="separate"/>
            </w:r>
            <w:r>
              <w:rPr>
                <w:noProof/>
                <w:webHidden/>
              </w:rPr>
              <w:t>38</w:t>
            </w:r>
            <w:r>
              <w:rPr>
                <w:noProof/>
                <w:webHidden/>
              </w:rPr>
              <w:fldChar w:fldCharType="end"/>
            </w:r>
          </w:hyperlink>
        </w:p>
        <w:p w14:paraId="065B6870" w14:textId="755595B9"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279" w:history="1">
            <w:r w:rsidRPr="00385616">
              <w:rPr>
                <w:rStyle w:val="-"/>
                <w:noProof/>
              </w:rPr>
              <w:t>2.1</w:t>
            </w:r>
            <w:r>
              <w:rPr>
                <w:rFonts w:asciiTheme="minorHAnsi" w:eastAsiaTheme="minorEastAsia" w:hAnsiTheme="minorHAnsi"/>
                <w:noProof/>
                <w:lang w:val="en-GB" w:eastAsia="en-GB"/>
              </w:rPr>
              <w:tab/>
            </w:r>
            <w:r w:rsidRPr="00385616">
              <w:rPr>
                <w:rStyle w:val="-"/>
                <w:noProof/>
              </w:rPr>
              <w:t>Επισκόπηση των WAPS</w:t>
            </w:r>
            <w:r>
              <w:rPr>
                <w:noProof/>
                <w:webHidden/>
              </w:rPr>
              <w:tab/>
            </w:r>
            <w:r>
              <w:rPr>
                <w:noProof/>
                <w:webHidden/>
              </w:rPr>
              <w:fldChar w:fldCharType="begin"/>
            </w:r>
            <w:r>
              <w:rPr>
                <w:noProof/>
                <w:webHidden/>
              </w:rPr>
              <w:instrText xml:space="preserve"> PAGEREF _Toc243355279 \h </w:instrText>
            </w:r>
            <w:r>
              <w:rPr>
                <w:noProof/>
                <w:webHidden/>
              </w:rPr>
            </w:r>
            <w:r>
              <w:rPr>
                <w:noProof/>
                <w:webHidden/>
              </w:rPr>
              <w:fldChar w:fldCharType="separate"/>
            </w:r>
            <w:r>
              <w:rPr>
                <w:noProof/>
                <w:webHidden/>
              </w:rPr>
              <w:t>38</w:t>
            </w:r>
            <w:r>
              <w:rPr>
                <w:noProof/>
                <w:webHidden/>
              </w:rPr>
              <w:fldChar w:fldCharType="end"/>
            </w:r>
          </w:hyperlink>
        </w:p>
        <w:p w14:paraId="7BC24582" w14:textId="7DB369EC"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280" w:history="1">
            <w:r w:rsidRPr="00385616">
              <w:rPr>
                <w:rStyle w:val="-"/>
                <w:noProof/>
              </w:rPr>
              <w:t>2.1.1</w:t>
            </w:r>
            <w:r>
              <w:rPr>
                <w:rFonts w:asciiTheme="minorHAnsi" w:eastAsiaTheme="minorEastAsia" w:hAnsiTheme="minorHAnsi"/>
                <w:noProof/>
                <w:lang w:val="en-GB" w:eastAsia="en-GB"/>
              </w:rPr>
              <w:tab/>
            </w:r>
            <w:r w:rsidRPr="00385616">
              <w:rPr>
                <w:rStyle w:val="-"/>
                <w:noProof/>
              </w:rPr>
              <w:t>Ορισμός των WAPS</w:t>
            </w:r>
            <w:r>
              <w:rPr>
                <w:noProof/>
                <w:webHidden/>
              </w:rPr>
              <w:tab/>
            </w:r>
            <w:r>
              <w:rPr>
                <w:noProof/>
                <w:webHidden/>
              </w:rPr>
              <w:fldChar w:fldCharType="begin"/>
            </w:r>
            <w:r>
              <w:rPr>
                <w:noProof/>
                <w:webHidden/>
              </w:rPr>
              <w:instrText xml:space="preserve"> PAGEREF _Toc243355280 \h </w:instrText>
            </w:r>
            <w:r>
              <w:rPr>
                <w:noProof/>
                <w:webHidden/>
              </w:rPr>
            </w:r>
            <w:r>
              <w:rPr>
                <w:noProof/>
                <w:webHidden/>
              </w:rPr>
              <w:fldChar w:fldCharType="separate"/>
            </w:r>
            <w:r>
              <w:rPr>
                <w:noProof/>
                <w:webHidden/>
              </w:rPr>
              <w:t>38</w:t>
            </w:r>
            <w:r>
              <w:rPr>
                <w:noProof/>
                <w:webHidden/>
              </w:rPr>
              <w:fldChar w:fldCharType="end"/>
            </w:r>
          </w:hyperlink>
        </w:p>
        <w:p w14:paraId="66F18E9A" w14:textId="24CB1BC4"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281" w:history="1">
            <w:r w:rsidRPr="00385616">
              <w:rPr>
                <w:rStyle w:val="-"/>
                <w:noProof/>
              </w:rPr>
              <w:t>2.1.2</w:t>
            </w:r>
            <w:r>
              <w:rPr>
                <w:rFonts w:asciiTheme="minorHAnsi" w:eastAsiaTheme="minorEastAsia" w:hAnsiTheme="minorHAnsi"/>
                <w:noProof/>
                <w:lang w:val="en-GB" w:eastAsia="en-GB"/>
              </w:rPr>
              <w:tab/>
            </w:r>
            <w:r w:rsidRPr="00385616">
              <w:rPr>
                <w:rStyle w:val="-"/>
                <w:noProof/>
              </w:rPr>
              <w:t>Ιστορική αναδρομή</w:t>
            </w:r>
            <w:r>
              <w:rPr>
                <w:noProof/>
                <w:webHidden/>
              </w:rPr>
              <w:tab/>
            </w:r>
            <w:r>
              <w:rPr>
                <w:noProof/>
                <w:webHidden/>
              </w:rPr>
              <w:fldChar w:fldCharType="begin"/>
            </w:r>
            <w:r>
              <w:rPr>
                <w:noProof/>
                <w:webHidden/>
              </w:rPr>
              <w:instrText xml:space="preserve"> PAGEREF _Toc243355281 \h </w:instrText>
            </w:r>
            <w:r>
              <w:rPr>
                <w:noProof/>
                <w:webHidden/>
              </w:rPr>
            </w:r>
            <w:r>
              <w:rPr>
                <w:noProof/>
                <w:webHidden/>
              </w:rPr>
              <w:fldChar w:fldCharType="separate"/>
            </w:r>
            <w:r>
              <w:rPr>
                <w:noProof/>
                <w:webHidden/>
              </w:rPr>
              <w:t>38</w:t>
            </w:r>
            <w:r>
              <w:rPr>
                <w:noProof/>
                <w:webHidden/>
              </w:rPr>
              <w:fldChar w:fldCharType="end"/>
            </w:r>
          </w:hyperlink>
        </w:p>
        <w:p w14:paraId="5BF885E2" w14:textId="38148D3F"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282" w:history="1">
            <w:r w:rsidRPr="00385616">
              <w:rPr>
                <w:rStyle w:val="-"/>
                <w:noProof/>
              </w:rPr>
              <w:t>2.2</w:t>
            </w:r>
            <w:r>
              <w:rPr>
                <w:rFonts w:asciiTheme="minorHAnsi" w:eastAsiaTheme="minorEastAsia" w:hAnsiTheme="minorHAnsi"/>
                <w:noProof/>
                <w:lang w:val="en-GB" w:eastAsia="en-GB"/>
              </w:rPr>
              <w:tab/>
            </w:r>
            <w:r w:rsidRPr="00385616">
              <w:rPr>
                <w:rStyle w:val="-"/>
                <w:noProof/>
              </w:rPr>
              <w:t>Τύποι WAPS</w:t>
            </w:r>
            <w:r>
              <w:rPr>
                <w:noProof/>
                <w:webHidden/>
              </w:rPr>
              <w:tab/>
            </w:r>
            <w:r>
              <w:rPr>
                <w:noProof/>
                <w:webHidden/>
              </w:rPr>
              <w:fldChar w:fldCharType="begin"/>
            </w:r>
            <w:r>
              <w:rPr>
                <w:noProof/>
                <w:webHidden/>
              </w:rPr>
              <w:instrText xml:space="preserve"> PAGEREF _Toc243355282 \h </w:instrText>
            </w:r>
            <w:r>
              <w:rPr>
                <w:noProof/>
                <w:webHidden/>
              </w:rPr>
            </w:r>
            <w:r>
              <w:rPr>
                <w:noProof/>
                <w:webHidden/>
              </w:rPr>
              <w:fldChar w:fldCharType="separate"/>
            </w:r>
            <w:r>
              <w:rPr>
                <w:noProof/>
                <w:webHidden/>
              </w:rPr>
              <w:t>42</w:t>
            </w:r>
            <w:r>
              <w:rPr>
                <w:noProof/>
                <w:webHidden/>
              </w:rPr>
              <w:fldChar w:fldCharType="end"/>
            </w:r>
          </w:hyperlink>
        </w:p>
        <w:p w14:paraId="68350411" w14:textId="2A031687"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283" w:history="1">
            <w:r w:rsidRPr="00385616">
              <w:rPr>
                <w:rStyle w:val="-"/>
                <w:noProof/>
              </w:rPr>
              <w:t>2.2.1</w:t>
            </w:r>
            <w:r>
              <w:rPr>
                <w:rFonts w:asciiTheme="minorHAnsi" w:eastAsiaTheme="minorEastAsia" w:hAnsiTheme="minorHAnsi"/>
                <w:noProof/>
                <w:lang w:val="en-GB" w:eastAsia="en-GB"/>
              </w:rPr>
              <w:tab/>
            </w:r>
            <w:r w:rsidRPr="00385616">
              <w:rPr>
                <w:rStyle w:val="-"/>
                <w:noProof/>
              </w:rPr>
              <w:t>Ιστία-ρότορες (rotor sails)</w:t>
            </w:r>
            <w:r>
              <w:rPr>
                <w:noProof/>
                <w:webHidden/>
              </w:rPr>
              <w:tab/>
            </w:r>
            <w:r>
              <w:rPr>
                <w:noProof/>
                <w:webHidden/>
              </w:rPr>
              <w:fldChar w:fldCharType="begin"/>
            </w:r>
            <w:r>
              <w:rPr>
                <w:noProof/>
                <w:webHidden/>
              </w:rPr>
              <w:instrText xml:space="preserve"> PAGEREF _Toc243355283 \h </w:instrText>
            </w:r>
            <w:r>
              <w:rPr>
                <w:noProof/>
                <w:webHidden/>
              </w:rPr>
            </w:r>
            <w:r>
              <w:rPr>
                <w:noProof/>
                <w:webHidden/>
              </w:rPr>
              <w:fldChar w:fldCharType="separate"/>
            </w:r>
            <w:r>
              <w:rPr>
                <w:noProof/>
                <w:webHidden/>
              </w:rPr>
              <w:t>42</w:t>
            </w:r>
            <w:r>
              <w:rPr>
                <w:noProof/>
                <w:webHidden/>
              </w:rPr>
              <w:fldChar w:fldCharType="end"/>
            </w:r>
          </w:hyperlink>
        </w:p>
        <w:p w14:paraId="54E9FFA1" w14:textId="08A50A04"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284" w:history="1">
            <w:r w:rsidRPr="00385616">
              <w:rPr>
                <w:rStyle w:val="-"/>
                <w:noProof/>
              </w:rPr>
              <w:t>2.2.2</w:t>
            </w:r>
            <w:r>
              <w:rPr>
                <w:rFonts w:asciiTheme="minorHAnsi" w:eastAsiaTheme="minorEastAsia" w:hAnsiTheme="minorHAnsi"/>
                <w:noProof/>
                <w:lang w:val="en-GB" w:eastAsia="en-GB"/>
              </w:rPr>
              <w:tab/>
            </w:r>
            <w:r w:rsidRPr="00385616">
              <w:rPr>
                <w:rStyle w:val="-"/>
                <w:noProof/>
              </w:rPr>
              <w:t>Πτέρυγες αναρρόφησης (suction wings)</w:t>
            </w:r>
            <w:r>
              <w:rPr>
                <w:noProof/>
                <w:webHidden/>
              </w:rPr>
              <w:tab/>
            </w:r>
            <w:r>
              <w:rPr>
                <w:noProof/>
                <w:webHidden/>
              </w:rPr>
              <w:fldChar w:fldCharType="begin"/>
            </w:r>
            <w:r>
              <w:rPr>
                <w:noProof/>
                <w:webHidden/>
              </w:rPr>
              <w:instrText xml:space="preserve"> PAGEREF _Toc243355284 \h </w:instrText>
            </w:r>
            <w:r>
              <w:rPr>
                <w:noProof/>
                <w:webHidden/>
              </w:rPr>
            </w:r>
            <w:r>
              <w:rPr>
                <w:noProof/>
                <w:webHidden/>
              </w:rPr>
              <w:fldChar w:fldCharType="separate"/>
            </w:r>
            <w:r>
              <w:rPr>
                <w:noProof/>
                <w:webHidden/>
              </w:rPr>
              <w:t>43</w:t>
            </w:r>
            <w:r>
              <w:rPr>
                <w:noProof/>
                <w:webHidden/>
              </w:rPr>
              <w:fldChar w:fldCharType="end"/>
            </w:r>
          </w:hyperlink>
        </w:p>
        <w:p w14:paraId="30009C34" w14:textId="00974E63"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285" w:history="1">
            <w:r w:rsidRPr="00385616">
              <w:rPr>
                <w:rStyle w:val="-"/>
                <w:noProof/>
              </w:rPr>
              <w:t>2.2.3</w:t>
            </w:r>
            <w:r>
              <w:rPr>
                <w:rFonts w:asciiTheme="minorHAnsi" w:eastAsiaTheme="minorEastAsia" w:hAnsiTheme="minorHAnsi"/>
                <w:noProof/>
                <w:lang w:val="en-GB" w:eastAsia="en-GB"/>
              </w:rPr>
              <w:tab/>
            </w:r>
            <w:r w:rsidRPr="00385616">
              <w:rPr>
                <w:rStyle w:val="-"/>
                <w:noProof/>
              </w:rPr>
              <w:t>Άκαμπτα ιστία (rigid sails)</w:t>
            </w:r>
            <w:r>
              <w:rPr>
                <w:noProof/>
                <w:webHidden/>
              </w:rPr>
              <w:tab/>
            </w:r>
            <w:r>
              <w:rPr>
                <w:noProof/>
                <w:webHidden/>
              </w:rPr>
              <w:fldChar w:fldCharType="begin"/>
            </w:r>
            <w:r>
              <w:rPr>
                <w:noProof/>
                <w:webHidden/>
              </w:rPr>
              <w:instrText xml:space="preserve"> PAGEREF _Toc243355285 \h </w:instrText>
            </w:r>
            <w:r>
              <w:rPr>
                <w:noProof/>
                <w:webHidden/>
              </w:rPr>
            </w:r>
            <w:r>
              <w:rPr>
                <w:noProof/>
                <w:webHidden/>
              </w:rPr>
              <w:fldChar w:fldCharType="separate"/>
            </w:r>
            <w:r>
              <w:rPr>
                <w:noProof/>
                <w:webHidden/>
              </w:rPr>
              <w:t>44</w:t>
            </w:r>
            <w:r>
              <w:rPr>
                <w:noProof/>
                <w:webHidden/>
              </w:rPr>
              <w:fldChar w:fldCharType="end"/>
            </w:r>
          </w:hyperlink>
        </w:p>
        <w:p w14:paraId="22755321" w14:textId="671BEC21"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286" w:history="1">
            <w:r w:rsidRPr="00385616">
              <w:rPr>
                <w:rStyle w:val="-"/>
                <w:noProof/>
              </w:rPr>
              <w:t>2.2.4</w:t>
            </w:r>
            <w:r>
              <w:rPr>
                <w:rFonts w:asciiTheme="minorHAnsi" w:eastAsiaTheme="minorEastAsia" w:hAnsiTheme="minorHAnsi"/>
                <w:noProof/>
                <w:lang w:val="en-GB" w:eastAsia="en-GB"/>
              </w:rPr>
              <w:tab/>
            </w:r>
            <w:r w:rsidRPr="00385616">
              <w:rPr>
                <w:rStyle w:val="-"/>
                <w:noProof/>
              </w:rPr>
              <w:t>Ιστία-χαρταετοί (kite sails)</w:t>
            </w:r>
            <w:r>
              <w:rPr>
                <w:noProof/>
                <w:webHidden/>
              </w:rPr>
              <w:tab/>
            </w:r>
            <w:r>
              <w:rPr>
                <w:noProof/>
                <w:webHidden/>
              </w:rPr>
              <w:fldChar w:fldCharType="begin"/>
            </w:r>
            <w:r>
              <w:rPr>
                <w:noProof/>
                <w:webHidden/>
              </w:rPr>
              <w:instrText xml:space="preserve"> PAGEREF _Toc243355286 \h </w:instrText>
            </w:r>
            <w:r>
              <w:rPr>
                <w:noProof/>
                <w:webHidden/>
              </w:rPr>
            </w:r>
            <w:r>
              <w:rPr>
                <w:noProof/>
                <w:webHidden/>
              </w:rPr>
              <w:fldChar w:fldCharType="separate"/>
            </w:r>
            <w:r>
              <w:rPr>
                <w:noProof/>
                <w:webHidden/>
              </w:rPr>
              <w:t>45</w:t>
            </w:r>
            <w:r>
              <w:rPr>
                <w:noProof/>
                <w:webHidden/>
              </w:rPr>
              <w:fldChar w:fldCharType="end"/>
            </w:r>
          </w:hyperlink>
        </w:p>
        <w:p w14:paraId="0A02E378" w14:textId="3C7A4FD7"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287" w:history="1">
            <w:r w:rsidRPr="00385616">
              <w:rPr>
                <w:rStyle w:val="-"/>
                <w:noProof/>
              </w:rPr>
              <w:t>2.3</w:t>
            </w:r>
            <w:r>
              <w:rPr>
                <w:rFonts w:asciiTheme="minorHAnsi" w:eastAsiaTheme="minorEastAsia" w:hAnsiTheme="minorHAnsi"/>
                <w:noProof/>
                <w:lang w:val="en-GB" w:eastAsia="en-GB"/>
              </w:rPr>
              <w:tab/>
            </w:r>
            <w:r w:rsidRPr="00385616">
              <w:rPr>
                <w:rStyle w:val="-"/>
                <w:noProof/>
              </w:rPr>
              <w:t>Παράγοντες που επηρεάζουν την επίδοση των WAPS</w:t>
            </w:r>
            <w:r>
              <w:rPr>
                <w:noProof/>
                <w:webHidden/>
              </w:rPr>
              <w:tab/>
            </w:r>
            <w:r>
              <w:rPr>
                <w:noProof/>
                <w:webHidden/>
              </w:rPr>
              <w:fldChar w:fldCharType="begin"/>
            </w:r>
            <w:r>
              <w:rPr>
                <w:noProof/>
                <w:webHidden/>
              </w:rPr>
              <w:instrText xml:space="preserve"> PAGEREF _Toc243355287 \h </w:instrText>
            </w:r>
            <w:r>
              <w:rPr>
                <w:noProof/>
                <w:webHidden/>
              </w:rPr>
            </w:r>
            <w:r>
              <w:rPr>
                <w:noProof/>
                <w:webHidden/>
              </w:rPr>
              <w:fldChar w:fldCharType="separate"/>
            </w:r>
            <w:r>
              <w:rPr>
                <w:noProof/>
                <w:webHidden/>
              </w:rPr>
              <w:t>46</w:t>
            </w:r>
            <w:r>
              <w:rPr>
                <w:noProof/>
                <w:webHidden/>
              </w:rPr>
              <w:fldChar w:fldCharType="end"/>
            </w:r>
          </w:hyperlink>
        </w:p>
        <w:p w14:paraId="2BDD3B33" w14:textId="6562BEB8"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288" w:history="1">
            <w:r w:rsidRPr="00385616">
              <w:rPr>
                <w:rStyle w:val="-"/>
                <w:noProof/>
              </w:rPr>
              <w:t>2.3.1</w:t>
            </w:r>
            <w:r>
              <w:rPr>
                <w:rFonts w:asciiTheme="minorHAnsi" w:eastAsiaTheme="minorEastAsia" w:hAnsiTheme="minorHAnsi"/>
                <w:noProof/>
                <w:lang w:val="en-GB" w:eastAsia="en-GB"/>
              </w:rPr>
              <w:tab/>
            </w:r>
            <w:r w:rsidRPr="00385616">
              <w:rPr>
                <w:rStyle w:val="-"/>
                <w:noProof/>
              </w:rPr>
              <w:t>Συνθήκες ανέμου</w:t>
            </w:r>
            <w:r>
              <w:rPr>
                <w:noProof/>
                <w:webHidden/>
              </w:rPr>
              <w:tab/>
            </w:r>
            <w:r>
              <w:rPr>
                <w:noProof/>
                <w:webHidden/>
              </w:rPr>
              <w:fldChar w:fldCharType="begin"/>
            </w:r>
            <w:r>
              <w:rPr>
                <w:noProof/>
                <w:webHidden/>
              </w:rPr>
              <w:instrText xml:space="preserve"> PAGEREF _Toc243355288 \h </w:instrText>
            </w:r>
            <w:r>
              <w:rPr>
                <w:noProof/>
                <w:webHidden/>
              </w:rPr>
            </w:r>
            <w:r>
              <w:rPr>
                <w:noProof/>
                <w:webHidden/>
              </w:rPr>
              <w:fldChar w:fldCharType="separate"/>
            </w:r>
            <w:r>
              <w:rPr>
                <w:noProof/>
                <w:webHidden/>
              </w:rPr>
              <w:t>46</w:t>
            </w:r>
            <w:r>
              <w:rPr>
                <w:noProof/>
                <w:webHidden/>
              </w:rPr>
              <w:fldChar w:fldCharType="end"/>
            </w:r>
          </w:hyperlink>
        </w:p>
        <w:p w14:paraId="6134EDBD" w14:textId="4137755C"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289" w:history="1">
            <w:r w:rsidRPr="00385616">
              <w:rPr>
                <w:rStyle w:val="-"/>
                <w:noProof/>
              </w:rPr>
              <w:t>2.3.2</w:t>
            </w:r>
            <w:r>
              <w:rPr>
                <w:rFonts w:asciiTheme="minorHAnsi" w:eastAsiaTheme="minorEastAsia" w:hAnsiTheme="minorHAnsi"/>
                <w:noProof/>
                <w:lang w:val="en-GB" w:eastAsia="en-GB"/>
              </w:rPr>
              <w:tab/>
            </w:r>
            <w:r w:rsidRPr="00385616">
              <w:rPr>
                <w:rStyle w:val="-"/>
                <w:noProof/>
              </w:rPr>
              <w:t>Τύπος πλοίου και χαρακτηριστικά της διαδρομής</w:t>
            </w:r>
            <w:r>
              <w:rPr>
                <w:noProof/>
                <w:webHidden/>
              </w:rPr>
              <w:tab/>
            </w:r>
            <w:r>
              <w:rPr>
                <w:noProof/>
                <w:webHidden/>
              </w:rPr>
              <w:fldChar w:fldCharType="begin"/>
            </w:r>
            <w:r>
              <w:rPr>
                <w:noProof/>
                <w:webHidden/>
              </w:rPr>
              <w:instrText xml:space="preserve"> PAGEREF _Toc243355289 \h </w:instrText>
            </w:r>
            <w:r>
              <w:rPr>
                <w:noProof/>
                <w:webHidden/>
              </w:rPr>
            </w:r>
            <w:r>
              <w:rPr>
                <w:noProof/>
                <w:webHidden/>
              </w:rPr>
              <w:fldChar w:fldCharType="separate"/>
            </w:r>
            <w:r>
              <w:rPr>
                <w:noProof/>
                <w:webHidden/>
              </w:rPr>
              <w:t>47</w:t>
            </w:r>
            <w:r>
              <w:rPr>
                <w:noProof/>
                <w:webHidden/>
              </w:rPr>
              <w:fldChar w:fldCharType="end"/>
            </w:r>
          </w:hyperlink>
        </w:p>
        <w:p w14:paraId="4691602C" w14:textId="586EF52F"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290" w:history="1">
            <w:r w:rsidRPr="00385616">
              <w:rPr>
                <w:rStyle w:val="-"/>
                <w:noProof/>
              </w:rPr>
              <w:t>2.3.3</w:t>
            </w:r>
            <w:r>
              <w:rPr>
                <w:rFonts w:asciiTheme="minorHAnsi" w:eastAsiaTheme="minorEastAsia" w:hAnsiTheme="minorHAnsi"/>
                <w:noProof/>
                <w:lang w:val="en-GB" w:eastAsia="en-GB"/>
              </w:rPr>
              <w:tab/>
            </w:r>
            <w:r w:rsidRPr="00385616">
              <w:rPr>
                <w:rStyle w:val="-"/>
                <w:noProof/>
              </w:rPr>
              <w:t>Διάταξη εγκατάστασης και αεροδυναμική αλληλεπίδραση</w:t>
            </w:r>
            <w:r>
              <w:rPr>
                <w:noProof/>
                <w:webHidden/>
              </w:rPr>
              <w:tab/>
            </w:r>
            <w:r>
              <w:rPr>
                <w:noProof/>
                <w:webHidden/>
              </w:rPr>
              <w:fldChar w:fldCharType="begin"/>
            </w:r>
            <w:r>
              <w:rPr>
                <w:noProof/>
                <w:webHidden/>
              </w:rPr>
              <w:instrText xml:space="preserve"> PAGEREF _Toc243355290 \h </w:instrText>
            </w:r>
            <w:r>
              <w:rPr>
                <w:noProof/>
                <w:webHidden/>
              </w:rPr>
            </w:r>
            <w:r>
              <w:rPr>
                <w:noProof/>
                <w:webHidden/>
              </w:rPr>
              <w:fldChar w:fldCharType="separate"/>
            </w:r>
            <w:r>
              <w:rPr>
                <w:noProof/>
                <w:webHidden/>
              </w:rPr>
              <w:t>48</w:t>
            </w:r>
            <w:r>
              <w:rPr>
                <w:noProof/>
                <w:webHidden/>
              </w:rPr>
              <w:fldChar w:fldCharType="end"/>
            </w:r>
          </w:hyperlink>
        </w:p>
        <w:p w14:paraId="52236322" w14:textId="0BE4C0CD"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291" w:history="1">
            <w:r w:rsidRPr="00385616">
              <w:rPr>
                <w:rStyle w:val="-"/>
                <w:noProof/>
              </w:rPr>
              <w:t>2.3.4</w:t>
            </w:r>
            <w:r>
              <w:rPr>
                <w:rFonts w:asciiTheme="minorHAnsi" w:eastAsiaTheme="minorEastAsia" w:hAnsiTheme="minorHAnsi"/>
                <w:noProof/>
                <w:lang w:val="en-GB" w:eastAsia="en-GB"/>
              </w:rPr>
              <w:tab/>
            </w:r>
            <w:r w:rsidRPr="00385616">
              <w:rPr>
                <w:rStyle w:val="-"/>
                <w:noProof/>
              </w:rPr>
              <w:t>Ενσωμάτωση στο κύριο σύστημα πρόωσης και λειτουργικό προφίλ</w:t>
            </w:r>
            <w:r>
              <w:rPr>
                <w:noProof/>
                <w:webHidden/>
              </w:rPr>
              <w:tab/>
            </w:r>
            <w:r>
              <w:rPr>
                <w:noProof/>
                <w:webHidden/>
              </w:rPr>
              <w:fldChar w:fldCharType="begin"/>
            </w:r>
            <w:r>
              <w:rPr>
                <w:noProof/>
                <w:webHidden/>
              </w:rPr>
              <w:instrText xml:space="preserve"> PAGEREF _Toc243355291 \h </w:instrText>
            </w:r>
            <w:r>
              <w:rPr>
                <w:noProof/>
                <w:webHidden/>
              </w:rPr>
            </w:r>
            <w:r>
              <w:rPr>
                <w:noProof/>
                <w:webHidden/>
              </w:rPr>
              <w:fldChar w:fldCharType="separate"/>
            </w:r>
            <w:r>
              <w:rPr>
                <w:noProof/>
                <w:webHidden/>
              </w:rPr>
              <w:t>50</w:t>
            </w:r>
            <w:r>
              <w:rPr>
                <w:noProof/>
                <w:webHidden/>
              </w:rPr>
              <w:fldChar w:fldCharType="end"/>
            </w:r>
          </w:hyperlink>
        </w:p>
        <w:p w14:paraId="329EDF73" w14:textId="65F446C6" w:rsidR="00DE598F" w:rsidRDefault="00DE598F">
          <w:pPr>
            <w:pStyle w:val="12"/>
            <w:tabs>
              <w:tab w:val="left" w:pos="480"/>
              <w:tab w:val="right" w:leader="dot" w:pos="8296"/>
            </w:tabs>
            <w:rPr>
              <w:rFonts w:asciiTheme="minorHAnsi" w:eastAsiaTheme="minorEastAsia" w:hAnsiTheme="minorHAnsi"/>
              <w:noProof/>
              <w:lang w:val="en-GB" w:eastAsia="en-GB"/>
            </w:rPr>
          </w:pPr>
          <w:hyperlink w:anchor="_Toc243355292" w:history="1">
            <w:r w:rsidRPr="00385616">
              <w:rPr>
                <w:rStyle w:val="-"/>
                <w:noProof/>
              </w:rPr>
              <w:t>3</w:t>
            </w:r>
            <w:r>
              <w:rPr>
                <w:rFonts w:asciiTheme="minorHAnsi" w:eastAsiaTheme="minorEastAsia" w:hAnsiTheme="minorHAnsi"/>
                <w:noProof/>
                <w:lang w:val="en-GB" w:eastAsia="en-GB"/>
              </w:rPr>
              <w:tab/>
            </w:r>
            <w:r w:rsidRPr="00385616">
              <w:rPr>
                <w:rStyle w:val="-"/>
                <w:noProof/>
              </w:rPr>
              <w:t>Τεχνοοικονομική αξιολόγηση των WAPS</w:t>
            </w:r>
            <w:r>
              <w:rPr>
                <w:noProof/>
                <w:webHidden/>
              </w:rPr>
              <w:tab/>
            </w:r>
            <w:r>
              <w:rPr>
                <w:noProof/>
                <w:webHidden/>
              </w:rPr>
              <w:fldChar w:fldCharType="begin"/>
            </w:r>
            <w:r>
              <w:rPr>
                <w:noProof/>
                <w:webHidden/>
              </w:rPr>
              <w:instrText xml:space="preserve"> PAGEREF _Toc243355292 \h </w:instrText>
            </w:r>
            <w:r>
              <w:rPr>
                <w:noProof/>
                <w:webHidden/>
              </w:rPr>
            </w:r>
            <w:r>
              <w:rPr>
                <w:noProof/>
                <w:webHidden/>
              </w:rPr>
              <w:fldChar w:fldCharType="separate"/>
            </w:r>
            <w:r>
              <w:rPr>
                <w:noProof/>
                <w:webHidden/>
              </w:rPr>
              <w:t>51</w:t>
            </w:r>
            <w:r>
              <w:rPr>
                <w:noProof/>
                <w:webHidden/>
              </w:rPr>
              <w:fldChar w:fldCharType="end"/>
            </w:r>
          </w:hyperlink>
        </w:p>
        <w:p w14:paraId="13EF1F4A" w14:textId="6926CEFA"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293" w:history="1">
            <w:r w:rsidRPr="00385616">
              <w:rPr>
                <w:rStyle w:val="-"/>
                <w:noProof/>
              </w:rPr>
              <w:t>3.1</w:t>
            </w:r>
            <w:r>
              <w:rPr>
                <w:rFonts w:asciiTheme="minorHAnsi" w:eastAsiaTheme="minorEastAsia" w:hAnsiTheme="minorHAnsi"/>
                <w:noProof/>
                <w:lang w:val="en-GB" w:eastAsia="en-GB"/>
              </w:rPr>
              <w:tab/>
            </w:r>
            <w:r w:rsidRPr="00385616">
              <w:rPr>
                <w:rStyle w:val="-"/>
                <w:noProof/>
              </w:rPr>
              <w:t>Εισαγωγή στην τεχνοοικονομική αξιολόγηση</w:t>
            </w:r>
            <w:r>
              <w:rPr>
                <w:noProof/>
                <w:webHidden/>
              </w:rPr>
              <w:tab/>
            </w:r>
            <w:r>
              <w:rPr>
                <w:noProof/>
                <w:webHidden/>
              </w:rPr>
              <w:fldChar w:fldCharType="begin"/>
            </w:r>
            <w:r>
              <w:rPr>
                <w:noProof/>
                <w:webHidden/>
              </w:rPr>
              <w:instrText xml:space="preserve"> PAGEREF _Toc243355293 \h </w:instrText>
            </w:r>
            <w:r>
              <w:rPr>
                <w:noProof/>
                <w:webHidden/>
              </w:rPr>
            </w:r>
            <w:r>
              <w:rPr>
                <w:noProof/>
                <w:webHidden/>
              </w:rPr>
              <w:fldChar w:fldCharType="separate"/>
            </w:r>
            <w:r>
              <w:rPr>
                <w:noProof/>
                <w:webHidden/>
              </w:rPr>
              <w:t>51</w:t>
            </w:r>
            <w:r>
              <w:rPr>
                <w:noProof/>
                <w:webHidden/>
              </w:rPr>
              <w:fldChar w:fldCharType="end"/>
            </w:r>
          </w:hyperlink>
        </w:p>
        <w:p w14:paraId="57900B8F" w14:textId="5DA6DE5F"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294" w:history="1">
            <w:r w:rsidRPr="00385616">
              <w:rPr>
                <w:rStyle w:val="-"/>
                <w:noProof/>
              </w:rPr>
              <w:t>3.2</w:t>
            </w:r>
            <w:r>
              <w:rPr>
                <w:rFonts w:asciiTheme="minorHAnsi" w:eastAsiaTheme="minorEastAsia" w:hAnsiTheme="minorHAnsi"/>
                <w:noProof/>
                <w:lang w:val="en-GB" w:eastAsia="en-GB"/>
              </w:rPr>
              <w:tab/>
            </w:r>
            <w:r w:rsidRPr="00385616">
              <w:rPr>
                <w:rStyle w:val="-"/>
                <w:noProof/>
              </w:rPr>
              <w:t>Δείκτες τεχνικής επίδοσης</w:t>
            </w:r>
            <w:r>
              <w:rPr>
                <w:noProof/>
                <w:webHidden/>
              </w:rPr>
              <w:tab/>
            </w:r>
            <w:r>
              <w:rPr>
                <w:noProof/>
                <w:webHidden/>
              </w:rPr>
              <w:fldChar w:fldCharType="begin"/>
            </w:r>
            <w:r>
              <w:rPr>
                <w:noProof/>
                <w:webHidden/>
              </w:rPr>
              <w:instrText xml:space="preserve"> PAGEREF _Toc243355294 \h </w:instrText>
            </w:r>
            <w:r>
              <w:rPr>
                <w:noProof/>
                <w:webHidden/>
              </w:rPr>
            </w:r>
            <w:r>
              <w:rPr>
                <w:noProof/>
                <w:webHidden/>
              </w:rPr>
              <w:fldChar w:fldCharType="separate"/>
            </w:r>
            <w:r>
              <w:rPr>
                <w:noProof/>
                <w:webHidden/>
              </w:rPr>
              <w:t>52</w:t>
            </w:r>
            <w:r>
              <w:rPr>
                <w:noProof/>
                <w:webHidden/>
              </w:rPr>
              <w:fldChar w:fldCharType="end"/>
            </w:r>
          </w:hyperlink>
        </w:p>
        <w:p w14:paraId="4C185732" w14:textId="59BA2558"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295" w:history="1">
            <w:r w:rsidRPr="00385616">
              <w:rPr>
                <w:rStyle w:val="-"/>
                <w:noProof/>
              </w:rPr>
              <w:t>3.2.1</w:t>
            </w:r>
            <w:r>
              <w:rPr>
                <w:rFonts w:asciiTheme="minorHAnsi" w:eastAsiaTheme="minorEastAsia" w:hAnsiTheme="minorHAnsi"/>
                <w:noProof/>
                <w:lang w:val="en-GB" w:eastAsia="en-GB"/>
              </w:rPr>
              <w:tab/>
            </w:r>
            <w:r w:rsidRPr="00385616">
              <w:rPr>
                <w:rStyle w:val="-"/>
                <w:noProof/>
              </w:rPr>
              <w:t>Κατανάλωση καυσίμου αναφοράς</w:t>
            </w:r>
            <w:r>
              <w:rPr>
                <w:noProof/>
                <w:webHidden/>
              </w:rPr>
              <w:tab/>
            </w:r>
            <w:r>
              <w:rPr>
                <w:noProof/>
                <w:webHidden/>
              </w:rPr>
              <w:fldChar w:fldCharType="begin"/>
            </w:r>
            <w:r>
              <w:rPr>
                <w:noProof/>
                <w:webHidden/>
              </w:rPr>
              <w:instrText xml:space="preserve"> PAGEREF _Toc243355295 \h </w:instrText>
            </w:r>
            <w:r>
              <w:rPr>
                <w:noProof/>
                <w:webHidden/>
              </w:rPr>
            </w:r>
            <w:r>
              <w:rPr>
                <w:noProof/>
                <w:webHidden/>
              </w:rPr>
              <w:fldChar w:fldCharType="separate"/>
            </w:r>
            <w:r>
              <w:rPr>
                <w:noProof/>
                <w:webHidden/>
              </w:rPr>
              <w:t>52</w:t>
            </w:r>
            <w:r>
              <w:rPr>
                <w:noProof/>
                <w:webHidden/>
              </w:rPr>
              <w:fldChar w:fldCharType="end"/>
            </w:r>
          </w:hyperlink>
        </w:p>
        <w:p w14:paraId="5CD608BB" w14:textId="4C1EAC7E"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296" w:history="1">
            <w:r w:rsidRPr="00385616">
              <w:rPr>
                <w:rStyle w:val="-"/>
                <w:noProof/>
              </w:rPr>
              <w:t>3.2.2</w:t>
            </w:r>
            <w:r>
              <w:rPr>
                <w:rFonts w:asciiTheme="minorHAnsi" w:eastAsiaTheme="minorEastAsia" w:hAnsiTheme="minorHAnsi"/>
                <w:noProof/>
                <w:lang w:val="en-GB" w:eastAsia="en-GB"/>
              </w:rPr>
              <w:tab/>
            </w:r>
            <w:r w:rsidRPr="00385616">
              <w:rPr>
                <w:rStyle w:val="-"/>
                <w:noProof/>
              </w:rPr>
              <w:t>Κεφαλαιουχικές δαπάνες (CAPEX)</w:t>
            </w:r>
            <w:r>
              <w:rPr>
                <w:noProof/>
                <w:webHidden/>
              </w:rPr>
              <w:tab/>
            </w:r>
            <w:r>
              <w:rPr>
                <w:noProof/>
                <w:webHidden/>
              </w:rPr>
              <w:fldChar w:fldCharType="begin"/>
            </w:r>
            <w:r>
              <w:rPr>
                <w:noProof/>
                <w:webHidden/>
              </w:rPr>
              <w:instrText xml:space="preserve"> PAGEREF _Toc243355296 \h </w:instrText>
            </w:r>
            <w:r>
              <w:rPr>
                <w:noProof/>
                <w:webHidden/>
              </w:rPr>
            </w:r>
            <w:r>
              <w:rPr>
                <w:noProof/>
                <w:webHidden/>
              </w:rPr>
              <w:fldChar w:fldCharType="separate"/>
            </w:r>
            <w:r>
              <w:rPr>
                <w:noProof/>
                <w:webHidden/>
              </w:rPr>
              <w:t>52</w:t>
            </w:r>
            <w:r>
              <w:rPr>
                <w:noProof/>
                <w:webHidden/>
              </w:rPr>
              <w:fldChar w:fldCharType="end"/>
            </w:r>
          </w:hyperlink>
        </w:p>
        <w:p w14:paraId="1A19D989" w14:textId="687893F7"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297" w:history="1">
            <w:r w:rsidRPr="00385616">
              <w:rPr>
                <w:rStyle w:val="-"/>
                <w:noProof/>
              </w:rPr>
              <w:t>3.2.3</w:t>
            </w:r>
            <w:r>
              <w:rPr>
                <w:rFonts w:asciiTheme="minorHAnsi" w:eastAsiaTheme="minorEastAsia" w:hAnsiTheme="minorHAnsi"/>
                <w:noProof/>
                <w:lang w:val="en-GB" w:eastAsia="en-GB"/>
              </w:rPr>
              <w:tab/>
            </w:r>
            <w:r w:rsidRPr="00385616">
              <w:rPr>
                <w:rStyle w:val="-"/>
                <w:noProof/>
              </w:rPr>
              <w:t>Λειτουργικές δαπάνες (OPEX)</w:t>
            </w:r>
            <w:r>
              <w:rPr>
                <w:noProof/>
                <w:webHidden/>
              </w:rPr>
              <w:tab/>
            </w:r>
            <w:r>
              <w:rPr>
                <w:noProof/>
                <w:webHidden/>
              </w:rPr>
              <w:fldChar w:fldCharType="begin"/>
            </w:r>
            <w:r>
              <w:rPr>
                <w:noProof/>
                <w:webHidden/>
              </w:rPr>
              <w:instrText xml:space="preserve"> PAGEREF _Toc243355297 \h </w:instrText>
            </w:r>
            <w:r>
              <w:rPr>
                <w:noProof/>
                <w:webHidden/>
              </w:rPr>
            </w:r>
            <w:r>
              <w:rPr>
                <w:noProof/>
                <w:webHidden/>
              </w:rPr>
              <w:fldChar w:fldCharType="separate"/>
            </w:r>
            <w:r>
              <w:rPr>
                <w:noProof/>
                <w:webHidden/>
              </w:rPr>
              <w:t>54</w:t>
            </w:r>
            <w:r>
              <w:rPr>
                <w:noProof/>
                <w:webHidden/>
              </w:rPr>
              <w:fldChar w:fldCharType="end"/>
            </w:r>
          </w:hyperlink>
        </w:p>
        <w:p w14:paraId="6CBB09F3" w14:textId="1C6B5943"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298" w:history="1">
            <w:r w:rsidRPr="00385616">
              <w:rPr>
                <w:rStyle w:val="-"/>
                <w:noProof/>
              </w:rPr>
              <w:t>3.3</w:t>
            </w:r>
            <w:r>
              <w:rPr>
                <w:rFonts w:asciiTheme="minorHAnsi" w:eastAsiaTheme="minorEastAsia" w:hAnsiTheme="minorHAnsi"/>
                <w:noProof/>
                <w:lang w:val="en-GB" w:eastAsia="en-GB"/>
              </w:rPr>
              <w:tab/>
            </w:r>
            <w:r w:rsidRPr="00385616">
              <w:rPr>
                <w:rStyle w:val="-"/>
                <w:noProof/>
              </w:rPr>
              <w:t>Εξοικονόμηση καυσίμου και δεδομένα επιδόσεων στη βιβλιογραφία</w:t>
            </w:r>
            <w:r>
              <w:rPr>
                <w:noProof/>
                <w:webHidden/>
              </w:rPr>
              <w:tab/>
            </w:r>
            <w:r>
              <w:rPr>
                <w:noProof/>
                <w:webHidden/>
              </w:rPr>
              <w:fldChar w:fldCharType="begin"/>
            </w:r>
            <w:r>
              <w:rPr>
                <w:noProof/>
                <w:webHidden/>
              </w:rPr>
              <w:instrText xml:space="preserve"> PAGEREF _Toc243355298 \h </w:instrText>
            </w:r>
            <w:r>
              <w:rPr>
                <w:noProof/>
                <w:webHidden/>
              </w:rPr>
            </w:r>
            <w:r>
              <w:rPr>
                <w:noProof/>
                <w:webHidden/>
              </w:rPr>
              <w:fldChar w:fldCharType="separate"/>
            </w:r>
            <w:r>
              <w:rPr>
                <w:noProof/>
                <w:webHidden/>
              </w:rPr>
              <w:t>57</w:t>
            </w:r>
            <w:r>
              <w:rPr>
                <w:noProof/>
                <w:webHidden/>
              </w:rPr>
              <w:fldChar w:fldCharType="end"/>
            </w:r>
          </w:hyperlink>
        </w:p>
        <w:p w14:paraId="5E799D6C" w14:textId="4F31F748"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299" w:history="1">
            <w:r w:rsidRPr="00385616">
              <w:rPr>
                <w:rStyle w:val="-"/>
                <w:noProof/>
              </w:rPr>
              <w:t>3.4</w:t>
            </w:r>
            <w:r>
              <w:rPr>
                <w:rFonts w:asciiTheme="minorHAnsi" w:eastAsiaTheme="minorEastAsia" w:hAnsiTheme="minorHAnsi"/>
                <w:noProof/>
                <w:lang w:val="en-GB" w:eastAsia="en-GB"/>
              </w:rPr>
              <w:tab/>
            </w:r>
            <w:r w:rsidRPr="00385616">
              <w:rPr>
                <w:rStyle w:val="-"/>
                <w:noProof/>
              </w:rPr>
              <w:t>Μέθοδοι οικονομικής αξιολόγησης</w:t>
            </w:r>
            <w:r>
              <w:rPr>
                <w:noProof/>
                <w:webHidden/>
              </w:rPr>
              <w:tab/>
            </w:r>
            <w:r>
              <w:rPr>
                <w:noProof/>
                <w:webHidden/>
              </w:rPr>
              <w:fldChar w:fldCharType="begin"/>
            </w:r>
            <w:r>
              <w:rPr>
                <w:noProof/>
                <w:webHidden/>
              </w:rPr>
              <w:instrText xml:space="preserve"> PAGEREF _Toc243355299 \h </w:instrText>
            </w:r>
            <w:r>
              <w:rPr>
                <w:noProof/>
                <w:webHidden/>
              </w:rPr>
            </w:r>
            <w:r>
              <w:rPr>
                <w:noProof/>
                <w:webHidden/>
              </w:rPr>
              <w:fldChar w:fldCharType="separate"/>
            </w:r>
            <w:r>
              <w:rPr>
                <w:noProof/>
                <w:webHidden/>
              </w:rPr>
              <w:t>60</w:t>
            </w:r>
            <w:r>
              <w:rPr>
                <w:noProof/>
                <w:webHidden/>
              </w:rPr>
              <w:fldChar w:fldCharType="end"/>
            </w:r>
          </w:hyperlink>
        </w:p>
        <w:p w14:paraId="7A9912AB" w14:textId="4ED376D8"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00" w:history="1">
            <w:r w:rsidRPr="00385616">
              <w:rPr>
                <w:rStyle w:val="-"/>
                <w:noProof/>
              </w:rPr>
              <w:t>3.4.1</w:t>
            </w:r>
            <w:r>
              <w:rPr>
                <w:rFonts w:asciiTheme="minorHAnsi" w:eastAsiaTheme="minorEastAsia" w:hAnsiTheme="minorHAnsi"/>
                <w:noProof/>
                <w:lang w:val="en-GB" w:eastAsia="en-GB"/>
              </w:rPr>
              <w:tab/>
            </w:r>
            <w:r w:rsidRPr="00385616">
              <w:rPr>
                <w:rStyle w:val="-"/>
                <w:noProof/>
              </w:rPr>
              <w:t>Περίοδος αποπληρωμής</w:t>
            </w:r>
            <w:r>
              <w:rPr>
                <w:noProof/>
                <w:webHidden/>
              </w:rPr>
              <w:tab/>
            </w:r>
            <w:r>
              <w:rPr>
                <w:noProof/>
                <w:webHidden/>
              </w:rPr>
              <w:fldChar w:fldCharType="begin"/>
            </w:r>
            <w:r>
              <w:rPr>
                <w:noProof/>
                <w:webHidden/>
              </w:rPr>
              <w:instrText xml:space="preserve"> PAGEREF _Toc243355300 \h </w:instrText>
            </w:r>
            <w:r>
              <w:rPr>
                <w:noProof/>
                <w:webHidden/>
              </w:rPr>
            </w:r>
            <w:r>
              <w:rPr>
                <w:noProof/>
                <w:webHidden/>
              </w:rPr>
              <w:fldChar w:fldCharType="separate"/>
            </w:r>
            <w:r>
              <w:rPr>
                <w:noProof/>
                <w:webHidden/>
              </w:rPr>
              <w:t>60</w:t>
            </w:r>
            <w:r>
              <w:rPr>
                <w:noProof/>
                <w:webHidden/>
              </w:rPr>
              <w:fldChar w:fldCharType="end"/>
            </w:r>
          </w:hyperlink>
        </w:p>
        <w:p w14:paraId="5D6E338A" w14:textId="3D6EA133"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01" w:history="1">
            <w:r w:rsidRPr="00385616">
              <w:rPr>
                <w:rStyle w:val="-"/>
                <w:noProof/>
              </w:rPr>
              <w:t>3.4.2</w:t>
            </w:r>
            <w:r>
              <w:rPr>
                <w:rFonts w:asciiTheme="minorHAnsi" w:eastAsiaTheme="minorEastAsia" w:hAnsiTheme="minorHAnsi"/>
                <w:noProof/>
                <w:lang w:val="en-GB" w:eastAsia="en-GB"/>
              </w:rPr>
              <w:tab/>
            </w:r>
            <w:r w:rsidRPr="00385616">
              <w:rPr>
                <w:rStyle w:val="-"/>
                <w:noProof/>
              </w:rPr>
              <w:t>Καθαρή παρούσα αξία (NPV)</w:t>
            </w:r>
            <w:r>
              <w:rPr>
                <w:noProof/>
                <w:webHidden/>
              </w:rPr>
              <w:tab/>
            </w:r>
            <w:r>
              <w:rPr>
                <w:noProof/>
                <w:webHidden/>
              </w:rPr>
              <w:fldChar w:fldCharType="begin"/>
            </w:r>
            <w:r>
              <w:rPr>
                <w:noProof/>
                <w:webHidden/>
              </w:rPr>
              <w:instrText xml:space="preserve"> PAGEREF _Toc243355301 \h </w:instrText>
            </w:r>
            <w:r>
              <w:rPr>
                <w:noProof/>
                <w:webHidden/>
              </w:rPr>
            </w:r>
            <w:r>
              <w:rPr>
                <w:noProof/>
                <w:webHidden/>
              </w:rPr>
              <w:fldChar w:fldCharType="separate"/>
            </w:r>
            <w:r>
              <w:rPr>
                <w:noProof/>
                <w:webHidden/>
              </w:rPr>
              <w:t>61</w:t>
            </w:r>
            <w:r>
              <w:rPr>
                <w:noProof/>
                <w:webHidden/>
              </w:rPr>
              <w:fldChar w:fldCharType="end"/>
            </w:r>
          </w:hyperlink>
        </w:p>
        <w:p w14:paraId="67BC1411" w14:textId="0233EB42"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02" w:history="1">
            <w:r w:rsidRPr="00385616">
              <w:rPr>
                <w:rStyle w:val="-"/>
                <w:noProof/>
              </w:rPr>
              <w:t>3.4.3</w:t>
            </w:r>
            <w:r>
              <w:rPr>
                <w:rFonts w:asciiTheme="minorHAnsi" w:eastAsiaTheme="minorEastAsia" w:hAnsiTheme="minorHAnsi"/>
                <w:noProof/>
                <w:lang w:val="en-GB" w:eastAsia="en-GB"/>
              </w:rPr>
              <w:tab/>
            </w:r>
            <w:r w:rsidRPr="00385616">
              <w:rPr>
                <w:rStyle w:val="-"/>
                <w:noProof/>
              </w:rPr>
              <w:t>Εσωτερικός βαθμός απόδοσης (IRR)</w:t>
            </w:r>
            <w:r>
              <w:rPr>
                <w:noProof/>
                <w:webHidden/>
              </w:rPr>
              <w:tab/>
            </w:r>
            <w:r>
              <w:rPr>
                <w:noProof/>
                <w:webHidden/>
              </w:rPr>
              <w:fldChar w:fldCharType="begin"/>
            </w:r>
            <w:r>
              <w:rPr>
                <w:noProof/>
                <w:webHidden/>
              </w:rPr>
              <w:instrText xml:space="preserve"> PAGEREF _Toc243355302 \h </w:instrText>
            </w:r>
            <w:r>
              <w:rPr>
                <w:noProof/>
                <w:webHidden/>
              </w:rPr>
            </w:r>
            <w:r>
              <w:rPr>
                <w:noProof/>
                <w:webHidden/>
              </w:rPr>
              <w:fldChar w:fldCharType="separate"/>
            </w:r>
            <w:r>
              <w:rPr>
                <w:noProof/>
                <w:webHidden/>
              </w:rPr>
              <w:t>62</w:t>
            </w:r>
            <w:r>
              <w:rPr>
                <w:noProof/>
                <w:webHidden/>
              </w:rPr>
              <w:fldChar w:fldCharType="end"/>
            </w:r>
          </w:hyperlink>
        </w:p>
        <w:p w14:paraId="355AAF56" w14:textId="30C61467"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303" w:history="1">
            <w:r w:rsidRPr="00385616">
              <w:rPr>
                <w:rStyle w:val="-"/>
                <w:noProof/>
              </w:rPr>
              <w:t>3.5</w:t>
            </w:r>
            <w:r>
              <w:rPr>
                <w:rFonts w:asciiTheme="minorHAnsi" w:eastAsiaTheme="minorEastAsia" w:hAnsiTheme="minorHAnsi"/>
                <w:noProof/>
                <w:lang w:val="en-GB" w:eastAsia="en-GB"/>
              </w:rPr>
              <w:tab/>
            </w:r>
            <w:r w:rsidRPr="00385616">
              <w:rPr>
                <w:rStyle w:val="-"/>
                <w:noProof/>
              </w:rPr>
              <w:t>Κανονιστικοί παράγοντες και παράγοντες της αγοράς που επηρεάζουν τα οικονομικά μεγέθη</w:t>
            </w:r>
            <w:r>
              <w:rPr>
                <w:noProof/>
                <w:webHidden/>
              </w:rPr>
              <w:tab/>
            </w:r>
            <w:r>
              <w:rPr>
                <w:noProof/>
                <w:webHidden/>
              </w:rPr>
              <w:fldChar w:fldCharType="begin"/>
            </w:r>
            <w:r>
              <w:rPr>
                <w:noProof/>
                <w:webHidden/>
              </w:rPr>
              <w:instrText xml:space="preserve"> PAGEREF _Toc243355303 \h </w:instrText>
            </w:r>
            <w:r>
              <w:rPr>
                <w:noProof/>
                <w:webHidden/>
              </w:rPr>
            </w:r>
            <w:r>
              <w:rPr>
                <w:noProof/>
                <w:webHidden/>
              </w:rPr>
              <w:fldChar w:fldCharType="separate"/>
            </w:r>
            <w:r>
              <w:rPr>
                <w:noProof/>
                <w:webHidden/>
              </w:rPr>
              <w:t>62</w:t>
            </w:r>
            <w:r>
              <w:rPr>
                <w:noProof/>
                <w:webHidden/>
              </w:rPr>
              <w:fldChar w:fldCharType="end"/>
            </w:r>
          </w:hyperlink>
        </w:p>
        <w:p w14:paraId="730543F1" w14:textId="19F8E01C"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304" w:history="1">
            <w:r w:rsidRPr="00385616">
              <w:rPr>
                <w:rStyle w:val="-"/>
                <w:noProof/>
              </w:rPr>
              <w:t>3.6</w:t>
            </w:r>
            <w:r>
              <w:rPr>
                <w:rFonts w:asciiTheme="minorHAnsi" w:eastAsiaTheme="minorEastAsia" w:hAnsiTheme="minorHAnsi"/>
                <w:noProof/>
                <w:lang w:val="en-GB" w:eastAsia="en-GB"/>
              </w:rPr>
              <w:tab/>
            </w:r>
            <w:r w:rsidRPr="00385616">
              <w:rPr>
                <w:rStyle w:val="-"/>
                <w:noProof/>
              </w:rPr>
              <w:t>Συγκριτική τεχνικοοικονομική επισκόπηση ανά τεχνολογία WAPS</w:t>
            </w:r>
            <w:r>
              <w:rPr>
                <w:noProof/>
                <w:webHidden/>
              </w:rPr>
              <w:tab/>
            </w:r>
            <w:r>
              <w:rPr>
                <w:noProof/>
                <w:webHidden/>
              </w:rPr>
              <w:fldChar w:fldCharType="begin"/>
            </w:r>
            <w:r>
              <w:rPr>
                <w:noProof/>
                <w:webHidden/>
              </w:rPr>
              <w:instrText xml:space="preserve"> PAGEREF _Toc243355304 \h </w:instrText>
            </w:r>
            <w:r>
              <w:rPr>
                <w:noProof/>
                <w:webHidden/>
              </w:rPr>
            </w:r>
            <w:r>
              <w:rPr>
                <w:noProof/>
                <w:webHidden/>
              </w:rPr>
              <w:fldChar w:fldCharType="separate"/>
            </w:r>
            <w:r>
              <w:rPr>
                <w:noProof/>
                <w:webHidden/>
              </w:rPr>
              <w:t>64</w:t>
            </w:r>
            <w:r>
              <w:rPr>
                <w:noProof/>
                <w:webHidden/>
              </w:rPr>
              <w:fldChar w:fldCharType="end"/>
            </w:r>
          </w:hyperlink>
        </w:p>
        <w:p w14:paraId="2C0C5C41" w14:textId="36E04284"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305" w:history="1">
            <w:r w:rsidRPr="00385616">
              <w:rPr>
                <w:rStyle w:val="-"/>
                <w:noProof/>
              </w:rPr>
              <w:t>3.7</w:t>
            </w:r>
            <w:r>
              <w:rPr>
                <w:rFonts w:asciiTheme="minorHAnsi" w:eastAsiaTheme="minorEastAsia" w:hAnsiTheme="minorHAnsi"/>
                <w:noProof/>
                <w:lang w:val="en-GB" w:eastAsia="en-GB"/>
              </w:rPr>
              <w:tab/>
            </w:r>
            <w:r w:rsidRPr="00385616">
              <w:rPr>
                <w:rStyle w:val="-"/>
                <w:noProof/>
              </w:rPr>
              <w:t>Σύνοψη των κύριων ευρημάτων της βιβλιογραφίας</w:t>
            </w:r>
            <w:r>
              <w:rPr>
                <w:noProof/>
                <w:webHidden/>
              </w:rPr>
              <w:tab/>
            </w:r>
            <w:r>
              <w:rPr>
                <w:noProof/>
                <w:webHidden/>
              </w:rPr>
              <w:fldChar w:fldCharType="begin"/>
            </w:r>
            <w:r>
              <w:rPr>
                <w:noProof/>
                <w:webHidden/>
              </w:rPr>
              <w:instrText xml:space="preserve"> PAGEREF _Toc243355305 \h </w:instrText>
            </w:r>
            <w:r>
              <w:rPr>
                <w:noProof/>
                <w:webHidden/>
              </w:rPr>
            </w:r>
            <w:r>
              <w:rPr>
                <w:noProof/>
                <w:webHidden/>
              </w:rPr>
              <w:fldChar w:fldCharType="separate"/>
            </w:r>
            <w:r>
              <w:rPr>
                <w:noProof/>
                <w:webHidden/>
              </w:rPr>
              <w:t>67</w:t>
            </w:r>
            <w:r>
              <w:rPr>
                <w:noProof/>
                <w:webHidden/>
              </w:rPr>
              <w:fldChar w:fldCharType="end"/>
            </w:r>
          </w:hyperlink>
        </w:p>
        <w:p w14:paraId="713BEC12" w14:textId="32E1CA9C" w:rsidR="00DE598F" w:rsidRDefault="00DE598F">
          <w:pPr>
            <w:pStyle w:val="12"/>
            <w:tabs>
              <w:tab w:val="left" w:pos="480"/>
              <w:tab w:val="right" w:leader="dot" w:pos="8296"/>
            </w:tabs>
            <w:rPr>
              <w:rFonts w:asciiTheme="minorHAnsi" w:eastAsiaTheme="minorEastAsia" w:hAnsiTheme="minorHAnsi"/>
              <w:noProof/>
              <w:lang w:val="en-GB" w:eastAsia="en-GB"/>
            </w:rPr>
          </w:pPr>
          <w:hyperlink w:anchor="_Toc243355306" w:history="1">
            <w:r w:rsidRPr="00385616">
              <w:rPr>
                <w:rStyle w:val="-"/>
                <w:noProof/>
              </w:rPr>
              <w:t>4</w:t>
            </w:r>
            <w:r>
              <w:rPr>
                <w:rFonts w:asciiTheme="minorHAnsi" w:eastAsiaTheme="minorEastAsia" w:hAnsiTheme="minorHAnsi"/>
                <w:noProof/>
                <w:lang w:val="en-GB" w:eastAsia="en-GB"/>
              </w:rPr>
              <w:tab/>
            </w:r>
            <w:r w:rsidRPr="00385616">
              <w:rPr>
                <w:rStyle w:val="-"/>
                <w:noProof/>
              </w:rPr>
              <w:t>Κανονιστικό πλαίσιο και εκπομπές CO₂ των ευρωπαϊκών θαλάσσιων μεταφορών</w:t>
            </w:r>
            <w:r>
              <w:rPr>
                <w:noProof/>
                <w:webHidden/>
              </w:rPr>
              <w:tab/>
            </w:r>
            <w:r>
              <w:rPr>
                <w:noProof/>
                <w:webHidden/>
              </w:rPr>
              <w:fldChar w:fldCharType="begin"/>
            </w:r>
            <w:r>
              <w:rPr>
                <w:noProof/>
                <w:webHidden/>
              </w:rPr>
              <w:instrText xml:space="preserve"> PAGEREF _Toc243355306 \h </w:instrText>
            </w:r>
            <w:r>
              <w:rPr>
                <w:noProof/>
                <w:webHidden/>
              </w:rPr>
            </w:r>
            <w:r>
              <w:rPr>
                <w:noProof/>
                <w:webHidden/>
              </w:rPr>
              <w:fldChar w:fldCharType="separate"/>
            </w:r>
            <w:r>
              <w:rPr>
                <w:noProof/>
                <w:webHidden/>
              </w:rPr>
              <w:t>69</w:t>
            </w:r>
            <w:r>
              <w:rPr>
                <w:noProof/>
                <w:webHidden/>
              </w:rPr>
              <w:fldChar w:fldCharType="end"/>
            </w:r>
          </w:hyperlink>
        </w:p>
        <w:p w14:paraId="22DC732A" w14:textId="30584168"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307" w:history="1">
            <w:r w:rsidRPr="00385616">
              <w:rPr>
                <w:rStyle w:val="-"/>
                <w:noProof/>
              </w:rPr>
              <w:t>4.1</w:t>
            </w:r>
            <w:r>
              <w:rPr>
                <w:rFonts w:asciiTheme="minorHAnsi" w:eastAsiaTheme="minorEastAsia" w:hAnsiTheme="minorHAnsi"/>
                <w:noProof/>
                <w:lang w:val="en-GB" w:eastAsia="en-GB"/>
              </w:rPr>
              <w:tab/>
            </w:r>
            <w:r w:rsidRPr="00385616">
              <w:rPr>
                <w:rStyle w:val="-"/>
                <w:noProof/>
              </w:rPr>
              <w:t>Εισαγωγή</w:t>
            </w:r>
            <w:r>
              <w:rPr>
                <w:noProof/>
                <w:webHidden/>
              </w:rPr>
              <w:tab/>
            </w:r>
            <w:r>
              <w:rPr>
                <w:noProof/>
                <w:webHidden/>
              </w:rPr>
              <w:fldChar w:fldCharType="begin"/>
            </w:r>
            <w:r>
              <w:rPr>
                <w:noProof/>
                <w:webHidden/>
              </w:rPr>
              <w:instrText xml:space="preserve"> PAGEREF _Toc243355307 \h </w:instrText>
            </w:r>
            <w:r>
              <w:rPr>
                <w:noProof/>
                <w:webHidden/>
              </w:rPr>
            </w:r>
            <w:r>
              <w:rPr>
                <w:noProof/>
                <w:webHidden/>
              </w:rPr>
              <w:fldChar w:fldCharType="separate"/>
            </w:r>
            <w:r>
              <w:rPr>
                <w:noProof/>
                <w:webHidden/>
              </w:rPr>
              <w:t>69</w:t>
            </w:r>
            <w:r>
              <w:rPr>
                <w:noProof/>
                <w:webHidden/>
              </w:rPr>
              <w:fldChar w:fldCharType="end"/>
            </w:r>
          </w:hyperlink>
        </w:p>
        <w:p w14:paraId="7E3AD936" w14:textId="457AECA1"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308" w:history="1">
            <w:r w:rsidRPr="00385616">
              <w:rPr>
                <w:rStyle w:val="-"/>
                <w:noProof/>
              </w:rPr>
              <w:t>4.2</w:t>
            </w:r>
            <w:r>
              <w:rPr>
                <w:rFonts w:asciiTheme="minorHAnsi" w:eastAsiaTheme="minorEastAsia" w:hAnsiTheme="minorHAnsi"/>
                <w:noProof/>
                <w:lang w:val="en-GB" w:eastAsia="en-GB"/>
              </w:rPr>
              <w:tab/>
            </w:r>
            <w:r w:rsidRPr="00385616">
              <w:rPr>
                <w:rStyle w:val="-"/>
                <w:noProof/>
              </w:rPr>
              <w:t>Παγκόσμιο πλαίσιο: θαλάσσιες μεταφορές, εκπομπές και δυνατότητα μείωσης τους</w:t>
            </w:r>
            <w:r>
              <w:rPr>
                <w:noProof/>
                <w:webHidden/>
              </w:rPr>
              <w:tab/>
            </w:r>
            <w:r>
              <w:rPr>
                <w:noProof/>
                <w:webHidden/>
              </w:rPr>
              <w:fldChar w:fldCharType="begin"/>
            </w:r>
            <w:r>
              <w:rPr>
                <w:noProof/>
                <w:webHidden/>
              </w:rPr>
              <w:instrText xml:space="preserve"> PAGEREF _Toc243355308 \h </w:instrText>
            </w:r>
            <w:r>
              <w:rPr>
                <w:noProof/>
                <w:webHidden/>
              </w:rPr>
            </w:r>
            <w:r>
              <w:rPr>
                <w:noProof/>
                <w:webHidden/>
              </w:rPr>
              <w:fldChar w:fldCharType="separate"/>
            </w:r>
            <w:r>
              <w:rPr>
                <w:noProof/>
                <w:webHidden/>
              </w:rPr>
              <w:t>70</w:t>
            </w:r>
            <w:r>
              <w:rPr>
                <w:noProof/>
                <w:webHidden/>
              </w:rPr>
              <w:fldChar w:fldCharType="end"/>
            </w:r>
          </w:hyperlink>
        </w:p>
        <w:p w14:paraId="32ABED58" w14:textId="55A00EFB"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09" w:history="1">
            <w:r w:rsidRPr="00385616">
              <w:rPr>
                <w:rStyle w:val="-"/>
                <w:noProof/>
              </w:rPr>
              <w:t>4.2.1</w:t>
            </w:r>
            <w:r>
              <w:rPr>
                <w:rFonts w:asciiTheme="minorHAnsi" w:eastAsiaTheme="minorEastAsia" w:hAnsiTheme="minorHAnsi"/>
                <w:noProof/>
                <w:lang w:val="en-GB" w:eastAsia="en-GB"/>
              </w:rPr>
              <w:tab/>
            </w:r>
            <w:r w:rsidRPr="00385616">
              <w:rPr>
                <w:rStyle w:val="-"/>
                <w:noProof/>
              </w:rPr>
              <w:t>Θαλάσσιο εμπόριο, δομή του στόλου και απόσταση ταξιδιού</w:t>
            </w:r>
            <w:r>
              <w:rPr>
                <w:noProof/>
                <w:webHidden/>
              </w:rPr>
              <w:tab/>
            </w:r>
            <w:r>
              <w:rPr>
                <w:noProof/>
                <w:webHidden/>
              </w:rPr>
              <w:fldChar w:fldCharType="begin"/>
            </w:r>
            <w:r>
              <w:rPr>
                <w:noProof/>
                <w:webHidden/>
              </w:rPr>
              <w:instrText xml:space="preserve"> PAGEREF _Toc243355309 \h </w:instrText>
            </w:r>
            <w:r>
              <w:rPr>
                <w:noProof/>
                <w:webHidden/>
              </w:rPr>
            </w:r>
            <w:r>
              <w:rPr>
                <w:noProof/>
                <w:webHidden/>
              </w:rPr>
              <w:fldChar w:fldCharType="separate"/>
            </w:r>
            <w:r>
              <w:rPr>
                <w:noProof/>
                <w:webHidden/>
              </w:rPr>
              <w:t>70</w:t>
            </w:r>
            <w:r>
              <w:rPr>
                <w:noProof/>
                <w:webHidden/>
              </w:rPr>
              <w:fldChar w:fldCharType="end"/>
            </w:r>
          </w:hyperlink>
        </w:p>
        <w:p w14:paraId="08BD2536" w14:textId="52BD1D74"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10" w:history="1">
            <w:r w:rsidRPr="00385616">
              <w:rPr>
                <w:rStyle w:val="-"/>
                <w:noProof/>
              </w:rPr>
              <w:t>4.2.2</w:t>
            </w:r>
            <w:r>
              <w:rPr>
                <w:rFonts w:asciiTheme="minorHAnsi" w:eastAsiaTheme="minorEastAsia" w:hAnsiTheme="minorHAnsi"/>
                <w:noProof/>
                <w:lang w:val="en-GB" w:eastAsia="en-GB"/>
              </w:rPr>
              <w:tab/>
            </w:r>
            <w:r w:rsidRPr="00385616">
              <w:rPr>
                <w:rStyle w:val="-"/>
                <w:noProof/>
              </w:rPr>
              <w:t>Παγκόσμιες εκπομπές αερίων θερμοκηπίου και το επίπεδο αναφοράς του IMO</w:t>
            </w:r>
            <w:r>
              <w:rPr>
                <w:noProof/>
                <w:webHidden/>
              </w:rPr>
              <w:tab/>
            </w:r>
            <w:r>
              <w:rPr>
                <w:noProof/>
                <w:webHidden/>
              </w:rPr>
              <w:fldChar w:fldCharType="begin"/>
            </w:r>
            <w:r>
              <w:rPr>
                <w:noProof/>
                <w:webHidden/>
              </w:rPr>
              <w:instrText xml:space="preserve"> PAGEREF _Toc243355310 \h </w:instrText>
            </w:r>
            <w:r>
              <w:rPr>
                <w:noProof/>
                <w:webHidden/>
              </w:rPr>
            </w:r>
            <w:r>
              <w:rPr>
                <w:noProof/>
                <w:webHidden/>
              </w:rPr>
              <w:fldChar w:fldCharType="separate"/>
            </w:r>
            <w:r>
              <w:rPr>
                <w:noProof/>
                <w:webHidden/>
              </w:rPr>
              <w:t>70</w:t>
            </w:r>
            <w:r>
              <w:rPr>
                <w:noProof/>
                <w:webHidden/>
              </w:rPr>
              <w:fldChar w:fldCharType="end"/>
            </w:r>
          </w:hyperlink>
        </w:p>
        <w:p w14:paraId="5B492CBB" w14:textId="291CAB22"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11" w:history="1">
            <w:r w:rsidRPr="00385616">
              <w:rPr>
                <w:rStyle w:val="-"/>
                <w:noProof/>
              </w:rPr>
              <w:t>4.2.3</w:t>
            </w:r>
            <w:r>
              <w:rPr>
                <w:rFonts w:asciiTheme="minorHAnsi" w:eastAsiaTheme="minorEastAsia" w:hAnsiTheme="minorHAnsi"/>
                <w:noProof/>
                <w:lang w:val="en-GB" w:eastAsia="en-GB"/>
              </w:rPr>
              <w:tab/>
            </w:r>
            <w:r w:rsidRPr="00385616">
              <w:rPr>
                <w:rStyle w:val="-"/>
                <w:noProof/>
              </w:rPr>
              <w:t>Δυνατότητα μείωσης μέσω των τεχνικών και λειτουργικών μέτρων</w:t>
            </w:r>
            <w:r>
              <w:rPr>
                <w:noProof/>
                <w:webHidden/>
              </w:rPr>
              <w:tab/>
            </w:r>
            <w:r>
              <w:rPr>
                <w:noProof/>
                <w:webHidden/>
              </w:rPr>
              <w:fldChar w:fldCharType="begin"/>
            </w:r>
            <w:r>
              <w:rPr>
                <w:noProof/>
                <w:webHidden/>
              </w:rPr>
              <w:instrText xml:space="preserve"> PAGEREF _Toc243355311 \h </w:instrText>
            </w:r>
            <w:r>
              <w:rPr>
                <w:noProof/>
                <w:webHidden/>
              </w:rPr>
            </w:r>
            <w:r>
              <w:rPr>
                <w:noProof/>
                <w:webHidden/>
              </w:rPr>
              <w:fldChar w:fldCharType="separate"/>
            </w:r>
            <w:r>
              <w:rPr>
                <w:noProof/>
                <w:webHidden/>
              </w:rPr>
              <w:t>71</w:t>
            </w:r>
            <w:r>
              <w:rPr>
                <w:noProof/>
                <w:webHidden/>
              </w:rPr>
              <w:fldChar w:fldCharType="end"/>
            </w:r>
          </w:hyperlink>
        </w:p>
        <w:p w14:paraId="2145F0E8" w14:textId="207D1F87"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312" w:history="1">
            <w:r w:rsidRPr="00385616">
              <w:rPr>
                <w:rStyle w:val="-"/>
                <w:noProof/>
              </w:rPr>
              <w:t>4.3</w:t>
            </w:r>
            <w:r>
              <w:rPr>
                <w:rFonts w:asciiTheme="minorHAnsi" w:eastAsiaTheme="minorEastAsia" w:hAnsiTheme="minorHAnsi"/>
                <w:noProof/>
                <w:lang w:val="en-GB" w:eastAsia="en-GB"/>
              </w:rPr>
              <w:tab/>
            </w:r>
            <w:r w:rsidRPr="00385616">
              <w:rPr>
                <w:rStyle w:val="-"/>
                <w:noProof/>
              </w:rPr>
              <w:t>Εκπομπές CO₂ από τις θαλάσσιες μεταφορές στην Ευρώπη</w:t>
            </w:r>
            <w:r>
              <w:rPr>
                <w:noProof/>
                <w:webHidden/>
              </w:rPr>
              <w:tab/>
            </w:r>
            <w:r>
              <w:rPr>
                <w:noProof/>
                <w:webHidden/>
              </w:rPr>
              <w:fldChar w:fldCharType="begin"/>
            </w:r>
            <w:r>
              <w:rPr>
                <w:noProof/>
                <w:webHidden/>
              </w:rPr>
              <w:instrText xml:space="preserve"> PAGEREF _Toc243355312 \h </w:instrText>
            </w:r>
            <w:r>
              <w:rPr>
                <w:noProof/>
                <w:webHidden/>
              </w:rPr>
            </w:r>
            <w:r>
              <w:rPr>
                <w:noProof/>
                <w:webHidden/>
              </w:rPr>
              <w:fldChar w:fldCharType="separate"/>
            </w:r>
            <w:r>
              <w:rPr>
                <w:noProof/>
                <w:webHidden/>
              </w:rPr>
              <w:t>72</w:t>
            </w:r>
            <w:r>
              <w:rPr>
                <w:noProof/>
                <w:webHidden/>
              </w:rPr>
              <w:fldChar w:fldCharType="end"/>
            </w:r>
          </w:hyperlink>
        </w:p>
        <w:p w14:paraId="1337A822" w14:textId="5F76EB5D"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13" w:history="1">
            <w:r w:rsidRPr="00385616">
              <w:rPr>
                <w:rStyle w:val="-"/>
                <w:noProof/>
              </w:rPr>
              <w:t>4.3.1</w:t>
            </w:r>
            <w:r>
              <w:rPr>
                <w:rFonts w:asciiTheme="minorHAnsi" w:eastAsiaTheme="minorEastAsia" w:hAnsiTheme="minorHAnsi"/>
                <w:noProof/>
                <w:lang w:val="en-GB" w:eastAsia="en-GB"/>
              </w:rPr>
              <w:tab/>
            </w:r>
            <w:r w:rsidRPr="00385616">
              <w:rPr>
                <w:rStyle w:val="-"/>
                <w:noProof/>
              </w:rPr>
              <w:t>Το ευρωπαϊκό πλαίσιο</w:t>
            </w:r>
            <w:r>
              <w:rPr>
                <w:noProof/>
                <w:webHidden/>
              </w:rPr>
              <w:tab/>
            </w:r>
            <w:r>
              <w:rPr>
                <w:noProof/>
                <w:webHidden/>
              </w:rPr>
              <w:fldChar w:fldCharType="begin"/>
            </w:r>
            <w:r>
              <w:rPr>
                <w:noProof/>
                <w:webHidden/>
              </w:rPr>
              <w:instrText xml:space="preserve"> PAGEREF _Toc243355313 \h </w:instrText>
            </w:r>
            <w:r>
              <w:rPr>
                <w:noProof/>
                <w:webHidden/>
              </w:rPr>
            </w:r>
            <w:r>
              <w:rPr>
                <w:noProof/>
                <w:webHidden/>
              </w:rPr>
              <w:fldChar w:fldCharType="separate"/>
            </w:r>
            <w:r>
              <w:rPr>
                <w:noProof/>
                <w:webHidden/>
              </w:rPr>
              <w:t>72</w:t>
            </w:r>
            <w:r>
              <w:rPr>
                <w:noProof/>
                <w:webHidden/>
              </w:rPr>
              <w:fldChar w:fldCharType="end"/>
            </w:r>
          </w:hyperlink>
        </w:p>
        <w:p w14:paraId="5939EE80" w14:textId="02EF4FAA"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14" w:history="1">
            <w:r w:rsidRPr="00385616">
              <w:rPr>
                <w:rStyle w:val="-"/>
                <w:noProof/>
              </w:rPr>
              <w:t>4.3.2</w:t>
            </w:r>
            <w:r>
              <w:rPr>
                <w:rFonts w:asciiTheme="minorHAnsi" w:eastAsiaTheme="minorEastAsia" w:hAnsiTheme="minorHAnsi"/>
                <w:noProof/>
                <w:lang w:val="en-GB" w:eastAsia="en-GB"/>
              </w:rPr>
              <w:tab/>
            </w:r>
            <w:r w:rsidRPr="00385616">
              <w:rPr>
                <w:rStyle w:val="-"/>
                <w:noProof/>
              </w:rPr>
              <w:t>Εκπομπές που δηλώνονται στο πλαίσιο του συστήματος MRV της ΕΕ</w:t>
            </w:r>
            <w:r>
              <w:rPr>
                <w:noProof/>
                <w:webHidden/>
              </w:rPr>
              <w:tab/>
            </w:r>
            <w:r>
              <w:rPr>
                <w:noProof/>
                <w:webHidden/>
              </w:rPr>
              <w:fldChar w:fldCharType="begin"/>
            </w:r>
            <w:r>
              <w:rPr>
                <w:noProof/>
                <w:webHidden/>
              </w:rPr>
              <w:instrText xml:space="preserve"> PAGEREF _Toc243355314 \h </w:instrText>
            </w:r>
            <w:r>
              <w:rPr>
                <w:noProof/>
                <w:webHidden/>
              </w:rPr>
            </w:r>
            <w:r>
              <w:rPr>
                <w:noProof/>
                <w:webHidden/>
              </w:rPr>
              <w:fldChar w:fldCharType="separate"/>
            </w:r>
            <w:r>
              <w:rPr>
                <w:noProof/>
                <w:webHidden/>
              </w:rPr>
              <w:t>72</w:t>
            </w:r>
            <w:r>
              <w:rPr>
                <w:noProof/>
                <w:webHidden/>
              </w:rPr>
              <w:fldChar w:fldCharType="end"/>
            </w:r>
          </w:hyperlink>
        </w:p>
        <w:p w14:paraId="1E7F8FA6" w14:textId="0C4ACCF6"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15" w:history="1">
            <w:r w:rsidRPr="00385616">
              <w:rPr>
                <w:rStyle w:val="-"/>
                <w:noProof/>
              </w:rPr>
              <w:t>4.3.3</w:t>
            </w:r>
            <w:r>
              <w:rPr>
                <w:rFonts w:asciiTheme="minorHAnsi" w:eastAsiaTheme="minorEastAsia" w:hAnsiTheme="minorHAnsi"/>
                <w:noProof/>
                <w:lang w:val="en-GB" w:eastAsia="en-GB"/>
              </w:rPr>
              <w:tab/>
            </w:r>
            <w:r w:rsidRPr="00385616">
              <w:rPr>
                <w:rStyle w:val="-"/>
                <w:noProof/>
              </w:rPr>
              <w:t>Εκπομπές ανά τύπο πλοίου και είδος ταξιδιού</w:t>
            </w:r>
            <w:r>
              <w:rPr>
                <w:noProof/>
                <w:webHidden/>
              </w:rPr>
              <w:tab/>
            </w:r>
            <w:r>
              <w:rPr>
                <w:noProof/>
                <w:webHidden/>
              </w:rPr>
              <w:fldChar w:fldCharType="begin"/>
            </w:r>
            <w:r>
              <w:rPr>
                <w:noProof/>
                <w:webHidden/>
              </w:rPr>
              <w:instrText xml:space="preserve"> PAGEREF _Toc243355315 \h </w:instrText>
            </w:r>
            <w:r>
              <w:rPr>
                <w:noProof/>
                <w:webHidden/>
              </w:rPr>
            </w:r>
            <w:r>
              <w:rPr>
                <w:noProof/>
                <w:webHidden/>
              </w:rPr>
              <w:fldChar w:fldCharType="separate"/>
            </w:r>
            <w:r>
              <w:rPr>
                <w:noProof/>
                <w:webHidden/>
              </w:rPr>
              <w:t>73</w:t>
            </w:r>
            <w:r>
              <w:rPr>
                <w:noProof/>
                <w:webHidden/>
              </w:rPr>
              <w:fldChar w:fldCharType="end"/>
            </w:r>
          </w:hyperlink>
        </w:p>
        <w:p w14:paraId="1EB6A368" w14:textId="6B5A86D6"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16" w:history="1">
            <w:r w:rsidRPr="00385616">
              <w:rPr>
                <w:rStyle w:val="-"/>
                <w:noProof/>
              </w:rPr>
              <w:t>4.3.4</w:t>
            </w:r>
            <w:r>
              <w:rPr>
                <w:rFonts w:asciiTheme="minorHAnsi" w:eastAsiaTheme="minorEastAsia" w:hAnsiTheme="minorHAnsi"/>
                <w:noProof/>
                <w:lang w:val="en-GB" w:eastAsia="en-GB"/>
              </w:rPr>
              <w:tab/>
            </w:r>
            <w:r w:rsidRPr="00385616">
              <w:rPr>
                <w:rStyle w:val="-"/>
                <w:noProof/>
              </w:rPr>
              <w:t>Μείγμα καυσίμων</w:t>
            </w:r>
            <w:r>
              <w:rPr>
                <w:noProof/>
                <w:webHidden/>
              </w:rPr>
              <w:tab/>
            </w:r>
            <w:r>
              <w:rPr>
                <w:noProof/>
                <w:webHidden/>
              </w:rPr>
              <w:fldChar w:fldCharType="begin"/>
            </w:r>
            <w:r>
              <w:rPr>
                <w:noProof/>
                <w:webHidden/>
              </w:rPr>
              <w:instrText xml:space="preserve"> PAGEREF _Toc243355316 \h </w:instrText>
            </w:r>
            <w:r>
              <w:rPr>
                <w:noProof/>
                <w:webHidden/>
              </w:rPr>
            </w:r>
            <w:r>
              <w:rPr>
                <w:noProof/>
                <w:webHidden/>
              </w:rPr>
              <w:fldChar w:fldCharType="separate"/>
            </w:r>
            <w:r>
              <w:rPr>
                <w:noProof/>
                <w:webHidden/>
              </w:rPr>
              <w:t>75</w:t>
            </w:r>
            <w:r>
              <w:rPr>
                <w:noProof/>
                <w:webHidden/>
              </w:rPr>
              <w:fldChar w:fldCharType="end"/>
            </w:r>
          </w:hyperlink>
        </w:p>
        <w:p w14:paraId="5FA786ED" w14:textId="41B33448"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317" w:history="1">
            <w:r w:rsidRPr="00385616">
              <w:rPr>
                <w:rStyle w:val="-"/>
                <w:noProof/>
              </w:rPr>
              <w:t>4.4</w:t>
            </w:r>
            <w:r>
              <w:rPr>
                <w:rFonts w:asciiTheme="minorHAnsi" w:eastAsiaTheme="minorEastAsia" w:hAnsiTheme="minorHAnsi"/>
                <w:noProof/>
                <w:lang w:val="en-GB" w:eastAsia="en-GB"/>
              </w:rPr>
              <w:tab/>
            </w:r>
            <w:r w:rsidRPr="00385616">
              <w:rPr>
                <w:rStyle w:val="-"/>
                <w:noProof/>
              </w:rPr>
              <w:t>Το ευρωπαϊκό κανονιστικό πλαίσιο</w:t>
            </w:r>
            <w:r>
              <w:rPr>
                <w:noProof/>
                <w:webHidden/>
              </w:rPr>
              <w:tab/>
            </w:r>
            <w:r>
              <w:rPr>
                <w:noProof/>
                <w:webHidden/>
              </w:rPr>
              <w:fldChar w:fldCharType="begin"/>
            </w:r>
            <w:r>
              <w:rPr>
                <w:noProof/>
                <w:webHidden/>
              </w:rPr>
              <w:instrText xml:space="preserve"> PAGEREF _Toc243355317 \h </w:instrText>
            </w:r>
            <w:r>
              <w:rPr>
                <w:noProof/>
                <w:webHidden/>
              </w:rPr>
            </w:r>
            <w:r>
              <w:rPr>
                <w:noProof/>
                <w:webHidden/>
              </w:rPr>
              <w:fldChar w:fldCharType="separate"/>
            </w:r>
            <w:r>
              <w:rPr>
                <w:noProof/>
                <w:webHidden/>
              </w:rPr>
              <w:t>75</w:t>
            </w:r>
            <w:r>
              <w:rPr>
                <w:noProof/>
                <w:webHidden/>
              </w:rPr>
              <w:fldChar w:fldCharType="end"/>
            </w:r>
          </w:hyperlink>
        </w:p>
        <w:p w14:paraId="38F00A24" w14:textId="256923EC"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18" w:history="1">
            <w:r w:rsidRPr="00385616">
              <w:rPr>
                <w:rStyle w:val="-"/>
                <w:noProof/>
              </w:rPr>
              <w:t>4.4.1</w:t>
            </w:r>
            <w:r>
              <w:rPr>
                <w:rFonts w:asciiTheme="minorHAnsi" w:eastAsiaTheme="minorEastAsia" w:hAnsiTheme="minorHAnsi"/>
                <w:noProof/>
                <w:lang w:val="en-GB" w:eastAsia="en-GB"/>
              </w:rPr>
              <w:tab/>
            </w:r>
            <w:r w:rsidRPr="00385616">
              <w:rPr>
                <w:rStyle w:val="-"/>
                <w:noProof/>
              </w:rPr>
              <w:t>Ο Κανονισμός MRV της ΕΕ</w:t>
            </w:r>
            <w:r>
              <w:rPr>
                <w:noProof/>
                <w:webHidden/>
              </w:rPr>
              <w:tab/>
            </w:r>
            <w:r>
              <w:rPr>
                <w:noProof/>
                <w:webHidden/>
              </w:rPr>
              <w:fldChar w:fldCharType="begin"/>
            </w:r>
            <w:r>
              <w:rPr>
                <w:noProof/>
                <w:webHidden/>
              </w:rPr>
              <w:instrText xml:space="preserve"> PAGEREF _Toc243355318 \h </w:instrText>
            </w:r>
            <w:r>
              <w:rPr>
                <w:noProof/>
                <w:webHidden/>
              </w:rPr>
            </w:r>
            <w:r>
              <w:rPr>
                <w:noProof/>
                <w:webHidden/>
              </w:rPr>
              <w:fldChar w:fldCharType="separate"/>
            </w:r>
            <w:r>
              <w:rPr>
                <w:noProof/>
                <w:webHidden/>
              </w:rPr>
              <w:t>75</w:t>
            </w:r>
            <w:r>
              <w:rPr>
                <w:noProof/>
                <w:webHidden/>
              </w:rPr>
              <w:fldChar w:fldCharType="end"/>
            </w:r>
          </w:hyperlink>
        </w:p>
        <w:p w14:paraId="6BC1CAF6" w14:textId="3AA263B6"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19" w:history="1">
            <w:r w:rsidRPr="00385616">
              <w:rPr>
                <w:rStyle w:val="-"/>
                <w:noProof/>
              </w:rPr>
              <w:t>4.4.2</w:t>
            </w:r>
            <w:r>
              <w:rPr>
                <w:rFonts w:asciiTheme="minorHAnsi" w:eastAsiaTheme="minorEastAsia" w:hAnsiTheme="minorHAnsi"/>
                <w:noProof/>
                <w:lang w:val="en-GB" w:eastAsia="en-GB"/>
              </w:rPr>
              <w:tab/>
            </w:r>
            <w:r w:rsidRPr="00385616">
              <w:rPr>
                <w:rStyle w:val="-"/>
                <w:noProof/>
              </w:rPr>
              <w:t>Το Σύστημα Εμπορίας Δικαιωμάτων Εκπομπών της ΕΕ για τις θαλάσσιες μεταφορές (</w:t>
            </w:r>
            <w:r w:rsidRPr="00385616">
              <w:rPr>
                <w:rStyle w:val="-"/>
                <w:noProof/>
                <w:lang w:val="en-US"/>
              </w:rPr>
              <w:t>EU</w:t>
            </w:r>
            <w:r w:rsidRPr="00385616">
              <w:rPr>
                <w:rStyle w:val="-"/>
                <w:noProof/>
              </w:rPr>
              <w:t xml:space="preserve"> </w:t>
            </w:r>
            <w:r w:rsidRPr="00385616">
              <w:rPr>
                <w:rStyle w:val="-"/>
                <w:noProof/>
                <w:lang w:val="en-US"/>
              </w:rPr>
              <w:t>ETS</w:t>
            </w:r>
            <w:r w:rsidRPr="00385616">
              <w:rPr>
                <w:rStyle w:val="-"/>
                <w:noProof/>
              </w:rPr>
              <w:t>)</w:t>
            </w:r>
            <w:r>
              <w:rPr>
                <w:noProof/>
                <w:webHidden/>
              </w:rPr>
              <w:tab/>
            </w:r>
            <w:r>
              <w:rPr>
                <w:noProof/>
                <w:webHidden/>
              </w:rPr>
              <w:fldChar w:fldCharType="begin"/>
            </w:r>
            <w:r>
              <w:rPr>
                <w:noProof/>
                <w:webHidden/>
              </w:rPr>
              <w:instrText xml:space="preserve"> PAGEREF _Toc243355319 \h </w:instrText>
            </w:r>
            <w:r>
              <w:rPr>
                <w:noProof/>
                <w:webHidden/>
              </w:rPr>
            </w:r>
            <w:r>
              <w:rPr>
                <w:noProof/>
                <w:webHidden/>
              </w:rPr>
              <w:fldChar w:fldCharType="separate"/>
            </w:r>
            <w:r>
              <w:rPr>
                <w:noProof/>
                <w:webHidden/>
              </w:rPr>
              <w:t>76</w:t>
            </w:r>
            <w:r>
              <w:rPr>
                <w:noProof/>
                <w:webHidden/>
              </w:rPr>
              <w:fldChar w:fldCharType="end"/>
            </w:r>
          </w:hyperlink>
        </w:p>
        <w:p w14:paraId="04942EF0" w14:textId="354939F2"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20" w:history="1">
            <w:r w:rsidRPr="00385616">
              <w:rPr>
                <w:rStyle w:val="-"/>
                <w:noProof/>
              </w:rPr>
              <w:t>4.4.3</w:t>
            </w:r>
            <w:r>
              <w:rPr>
                <w:rFonts w:asciiTheme="minorHAnsi" w:eastAsiaTheme="minorEastAsia" w:hAnsiTheme="minorHAnsi"/>
                <w:noProof/>
                <w:lang w:val="en-GB" w:eastAsia="en-GB"/>
              </w:rPr>
              <w:tab/>
            </w:r>
            <w:r w:rsidRPr="00385616">
              <w:rPr>
                <w:rStyle w:val="-"/>
                <w:noProof/>
              </w:rPr>
              <w:t>Ο Κανονισμός FuelEU Maritime</w:t>
            </w:r>
            <w:r>
              <w:rPr>
                <w:noProof/>
                <w:webHidden/>
              </w:rPr>
              <w:tab/>
            </w:r>
            <w:r>
              <w:rPr>
                <w:noProof/>
                <w:webHidden/>
              </w:rPr>
              <w:fldChar w:fldCharType="begin"/>
            </w:r>
            <w:r>
              <w:rPr>
                <w:noProof/>
                <w:webHidden/>
              </w:rPr>
              <w:instrText xml:space="preserve"> PAGEREF _Toc243355320 \h </w:instrText>
            </w:r>
            <w:r>
              <w:rPr>
                <w:noProof/>
                <w:webHidden/>
              </w:rPr>
            </w:r>
            <w:r>
              <w:rPr>
                <w:noProof/>
                <w:webHidden/>
              </w:rPr>
              <w:fldChar w:fldCharType="separate"/>
            </w:r>
            <w:r>
              <w:rPr>
                <w:noProof/>
                <w:webHidden/>
              </w:rPr>
              <w:t>77</w:t>
            </w:r>
            <w:r>
              <w:rPr>
                <w:noProof/>
                <w:webHidden/>
              </w:rPr>
              <w:fldChar w:fldCharType="end"/>
            </w:r>
          </w:hyperlink>
        </w:p>
        <w:p w14:paraId="43D9727F" w14:textId="32D97F2D"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21" w:history="1">
            <w:r w:rsidRPr="00385616">
              <w:rPr>
                <w:rStyle w:val="-"/>
                <w:noProof/>
              </w:rPr>
              <w:t>4.4.4</w:t>
            </w:r>
            <w:r>
              <w:rPr>
                <w:rFonts w:asciiTheme="minorHAnsi" w:eastAsiaTheme="minorEastAsia" w:hAnsiTheme="minorHAnsi"/>
                <w:noProof/>
                <w:lang w:val="en-GB" w:eastAsia="en-GB"/>
              </w:rPr>
              <w:tab/>
            </w:r>
            <w:r w:rsidRPr="00385616">
              <w:rPr>
                <w:rStyle w:val="-"/>
                <w:noProof/>
              </w:rPr>
              <w:t>Αναγνώριση της αιολικής υποβοήθησης της πρόωσης στο πλαίσιο του FuelEU Maritime</w:t>
            </w:r>
            <w:r>
              <w:rPr>
                <w:noProof/>
                <w:webHidden/>
              </w:rPr>
              <w:tab/>
            </w:r>
            <w:r>
              <w:rPr>
                <w:noProof/>
                <w:webHidden/>
              </w:rPr>
              <w:fldChar w:fldCharType="begin"/>
            </w:r>
            <w:r>
              <w:rPr>
                <w:noProof/>
                <w:webHidden/>
              </w:rPr>
              <w:instrText xml:space="preserve"> PAGEREF _Toc243355321 \h </w:instrText>
            </w:r>
            <w:r>
              <w:rPr>
                <w:noProof/>
                <w:webHidden/>
              </w:rPr>
            </w:r>
            <w:r>
              <w:rPr>
                <w:noProof/>
                <w:webHidden/>
              </w:rPr>
              <w:fldChar w:fldCharType="separate"/>
            </w:r>
            <w:r>
              <w:rPr>
                <w:noProof/>
                <w:webHidden/>
              </w:rPr>
              <w:t>79</w:t>
            </w:r>
            <w:r>
              <w:rPr>
                <w:noProof/>
                <w:webHidden/>
              </w:rPr>
              <w:fldChar w:fldCharType="end"/>
            </w:r>
          </w:hyperlink>
        </w:p>
        <w:p w14:paraId="080A4CA7" w14:textId="1AB72D33"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322" w:history="1">
            <w:r w:rsidRPr="00385616">
              <w:rPr>
                <w:rStyle w:val="-"/>
                <w:noProof/>
              </w:rPr>
              <w:t>4.5</w:t>
            </w:r>
            <w:r>
              <w:rPr>
                <w:rFonts w:asciiTheme="minorHAnsi" w:eastAsiaTheme="minorEastAsia" w:hAnsiTheme="minorHAnsi"/>
                <w:noProof/>
                <w:lang w:val="en-GB" w:eastAsia="en-GB"/>
              </w:rPr>
              <w:tab/>
            </w:r>
            <w:r w:rsidRPr="00385616">
              <w:rPr>
                <w:rStyle w:val="-"/>
                <w:noProof/>
              </w:rPr>
              <w:t>Το κανονιστικό πλαίσιο του IMO</w:t>
            </w:r>
            <w:r>
              <w:rPr>
                <w:noProof/>
                <w:webHidden/>
              </w:rPr>
              <w:tab/>
            </w:r>
            <w:r>
              <w:rPr>
                <w:noProof/>
                <w:webHidden/>
              </w:rPr>
              <w:fldChar w:fldCharType="begin"/>
            </w:r>
            <w:r>
              <w:rPr>
                <w:noProof/>
                <w:webHidden/>
              </w:rPr>
              <w:instrText xml:space="preserve"> PAGEREF _Toc243355322 \h </w:instrText>
            </w:r>
            <w:r>
              <w:rPr>
                <w:noProof/>
                <w:webHidden/>
              </w:rPr>
            </w:r>
            <w:r>
              <w:rPr>
                <w:noProof/>
                <w:webHidden/>
              </w:rPr>
              <w:fldChar w:fldCharType="separate"/>
            </w:r>
            <w:r>
              <w:rPr>
                <w:noProof/>
                <w:webHidden/>
              </w:rPr>
              <w:t>80</w:t>
            </w:r>
            <w:r>
              <w:rPr>
                <w:noProof/>
                <w:webHidden/>
              </w:rPr>
              <w:fldChar w:fldCharType="end"/>
            </w:r>
          </w:hyperlink>
        </w:p>
        <w:p w14:paraId="0E2B6655" w14:textId="3F024B3E"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23" w:history="1">
            <w:r w:rsidRPr="00385616">
              <w:rPr>
                <w:rStyle w:val="-"/>
                <w:noProof/>
              </w:rPr>
              <w:t>4.5.1</w:t>
            </w:r>
            <w:r>
              <w:rPr>
                <w:rFonts w:asciiTheme="minorHAnsi" w:eastAsiaTheme="minorEastAsia" w:hAnsiTheme="minorHAnsi"/>
                <w:noProof/>
                <w:lang w:val="en-GB" w:eastAsia="en-GB"/>
              </w:rPr>
              <w:tab/>
            </w:r>
            <w:r w:rsidRPr="00385616">
              <w:rPr>
                <w:rStyle w:val="-"/>
                <w:noProof/>
              </w:rPr>
              <w:t>Η Στρατηγική του IMO του 2023 για τη μείωση των εκπομπών αερίων θερμοκηπίου από τα πλοία</w:t>
            </w:r>
            <w:r>
              <w:rPr>
                <w:noProof/>
                <w:webHidden/>
              </w:rPr>
              <w:tab/>
            </w:r>
            <w:r>
              <w:rPr>
                <w:noProof/>
                <w:webHidden/>
              </w:rPr>
              <w:fldChar w:fldCharType="begin"/>
            </w:r>
            <w:r>
              <w:rPr>
                <w:noProof/>
                <w:webHidden/>
              </w:rPr>
              <w:instrText xml:space="preserve"> PAGEREF _Toc243355323 \h </w:instrText>
            </w:r>
            <w:r>
              <w:rPr>
                <w:noProof/>
                <w:webHidden/>
              </w:rPr>
            </w:r>
            <w:r>
              <w:rPr>
                <w:noProof/>
                <w:webHidden/>
              </w:rPr>
              <w:fldChar w:fldCharType="separate"/>
            </w:r>
            <w:r>
              <w:rPr>
                <w:noProof/>
                <w:webHidden/>
              </w:rPr>
              <w:t>80</w:t>
            </w:r>
            <w:r>
              <w:rPr>
                <w:noProof/>
                <w:webHidden/>
              </w:rPr>
              <w:fldChar w:fldCharType="end"/>
            </w:r>
          </w:hyperlink>
        </w:p>
        <w:p w14:paraId="32017F2E" w14:textId="5B7E7D46"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24" w:history="1">
            <w:r w:rsidRPr="00385616">
              <w:rPr>
                <w:rStyle w:val="-"/>
                <w:noProof/>
              </w:rPr>
              <w:t>4.5.2</w:t>
            </w:r>
            <w:r>
              <w:rPr>
                <w:rFonts w:asciiTheme="minorHAnsi" w:eastAsiaTheme="minorEastAsia" w:hAnsiTheme="minorHAnsi"/>
                <w:noProof/>
                <w:lang w:val="en-GB" w:eastAsia="en-GB"/>
              </w:rPr>
              <w:tab/>
            </w:r>
            <w:r w:rsidRPr="00385616">
              <w:rPr>
                <w:rStyle w:val="-"/>
                <w:noProof/>
              </w:rPr>
              <w:t>EEDI και EEXI</w:t>
            </w:r>
            <w:r>
              <w:rPr>
                <w:noProof/>
                <w:webHidden/>
              </w:rPr>
              <w:tab/>
            </w:r>
            <w:r>
              <w:rPr>
                <w:noProof/>
                <w:webHidden/>
              </w:rPr>
              <w:fldChar w:fldCharType="begin"/>
            </w:r>
            <w:r>
              <w:rPr>
                <w:noProof/>
                <w:webHidden/>
              </w:rPr>
              <w:instrText xml:space="preserve"> PAGEREF _Toc243355324 \h </w:instrText>
            </w:r>
            <w:r>
              <w:rPr>
                <w:noProof/>
                <w:webHidden/>
              </w:rPr>
            </w:r>
            <w:r>
              <w:rPr>
                <w:noProof/>
                <w:webHidden/>
              </w:rPr>
              <w:fldChar w:fldCharType="separate"/>
            </w:r>
            <w:r>
              <w:rPr>
                <w:noProof/>
                <w:webHidden/>
              </w:rPr>
              <w:t>80</w:t>
            </w:r>
            <w:r>
              <w:rPr>
                <w:noProof/>
                <w:webHidden/>
              </w:rPr>
              <w:fldChar w:fldCharType="end"/>
            </w:r>
          </w:hyperlink>
        </w:p>
        <w:p w14:paraId="7E78D94E" w14:textId="64966E6D"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25" w:history="1">
            <w:r w:rsidRPr="00385616">
              <w:rPr>
                <w:rStyle w:val="-"/>
                <w:noProof/>
              </w:rPr>
              <w:t>4.5.3</w:t>
            </w:r>
            <w:r>
              <w:rPr>
                <w:rFonts w:asciiTheme="minorHAnsi" w:eastAsiaTheme="minorEastAsia" w:hAnsiTheme="minorHAnsi"/>
                <w:noProof/>
                <w:lang w:val="en-GB" w:eastAsia="en-GB"/>
              </w:rPr>
              <w:tab/>
            </w:r>
            <w:r w:rsidRPr="00385616">
              <w:rPr>
                <w:rStyle w:val="-"/>
                <w:noProof/>
              </w:rPr>
              <w:t>Δείκτης Έντασης Άνθρακα</w:t>
            </w:r>
            <w:r>
              <w:rPr>
                <w:noProof/>
                <w:webHidden/>
              </w:rPr>
              <w:tab/>
            </w:r>
            <w:r>
              <w:rPr>
                <w:noProof/>
                <w:webHidden/>
              </w:rPr>
              <w:fldChar w:fldCharType="begin"/>
            </w:r>
            <w:r>
              <w:rPr>
                <w:noProof/>
                <w:webHidden/>
              </w:rPr>
              <w:instrText xml:space="preserve"> PAGEREF _Toc243355325 \h </w:instrText>
            </w:r>
            <w:r>
              <w:rPr>
                <w:noProof/>
                <w:webHidden/>
              </w:rPr>
            </w:r>
            <w:r>
              <w:rPr>
                <w:noProof/>
                <w:webHidden/>
              </w:rPr>
              <w:fldChar w:fldCharType="separate"/>
            </w:r>
            <w:r>
              <w:rPr>
                <w:noProof/>
                <w:webHidden/>
              </w:rPr>
              <w:t>81</w:t>
            </w:r>
            <w:r>
              <w:rPr>
                <w:noProof/>
                <w:webHidden/>
              </w:rPr>
              <w:fldChar w:fldCharType="end"/>
            </w:r>
          </w:hyperlink>
        </w:p>
        <w:p w14:paraId="7D357E1E" w14:textId="69201C06"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26" w:history="1">
            <w:r w:rsidRPr="00385616">
              <w:rPr>
                <w:rStyle w:val="-"/>
                <w:noProof/>
              </w:rPr>
              <w:t>4.5.4</w:t>
            </w:r>
            <w:r>
              <w:rPr>
                <w:rFonts w:asciiTheme="minorHAnsi" w:eastAsiaTheme="minorEastAsia" w:hAnsiTheme="minorHAnsi"/>
                <w:noProof/>
                <w:lang w:val="en-GB" w:eastAsia="en-GB"/>
              </w:rPr>
              <w:tab/>
            </w:r>
            <w:r w:rsidRPr="00385616">
              <w:rPr>
                <w:rStyle w:val="-"/>
                <w:noProof/>
              </w:rPr>
              <w:t>Το Πλαίσιο Μηδενικών Καθαρών Εκπομπών του IMO</w:t>
            </w:r>
            <w:r>
              <w:rPr>
                <w:noProof/>
                <w:webHidden/>
              </w:rPr>
              <w:tab/>
            </w:r>
            <w:r>
              <w:rPr>
                <w:noProof/>
                <w:webHidden/>
              </w:rPr>
              <w:fldChar w:fldCharType="begin"/>
            </w:r>
            <w:r>
              <w:rPr>
                <w:noProof/>
                <w:webHidden/>
              </w:rPr>
              <w:instrText xml:space="preserve"> PAGEREF _Toc243355326 \h </w:instrText>
            </w:r>
            <w:r>
              <w:rPr>
                <w:noProof/>
                <w:webHidden/>
              </w:rPr>
            </w:r>
            <w:r>
              <w:rPr>
                <w:noProof/>
                <w:webHidden/>
              </w:rPr>
              <w:fldChar w:fldCharType="separate"/>
            </w:r>
            <w:r>
              <w:rPr>
                <w:noProof/>
                <w:webHidden/>
              </w:rPr>
              <w:t>83</w:t>
            </w:r>
            <w:r>
              <w:rPr>
                <w:noProof/>
                <w:webHidden/>
              </w:rPr>
              <w:fldChar w:fldCharType="end"/>
            </w:r>
          </w:hyperlink>
        </w:p>
        <w:p w14:paraId="08343D9D" w14:textId="204B2101"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327" w:history="1">
            <w:r w:rsidRPr="00385616">
              <w:rPr>
                <w:rStyle w:val="-"/>
                <w:noProof/>
              </w:rPr>
              <w:t>4.6</w:t>
            </w:r>
            <w:r>
              <w:rPr>
                <w:rFonts w:asciiTheme="minorHAnsi" w:eastAsiaTheme="minorEastAsia" w:hAnsiTheme="minorHAnsi"/>
                <w:noProof/>
                <w:lang w:val="en-GB" w:eastAsia="en-GB"/>
              </w:rPr>
              <w:tab/>
            </w:r>
            <w:r w:rsidRPr="00385616">
              <w:rPr>
                <w:rStyle w:val="-"/>
                <w:noProof/>
              </w:rPr>
              <w:t>Αναγνώριση, επαλήθευση και πιστοποίηση των WAPS</w:t>
            </w:r>
            <w:r>
              <w:rPr>
                <w:noProof/>
                <w:webHidden/>
              </w:rPr>
              <w:tab/>
            </w:r>
            <w:r>
              <w:rPr>
                <w:noProof/>
                <w:webHidden/>
              </w:rPr>
              <w:fldChar w:fldCharType="begin"/>
            </w:r>
            <w:r>
              <w:rPr>
                <w:noProof/>
                <w:webHidden/>
              </w:rPr>
              <w:instrText xml:space="preserve"> PAGEREF _Toc243355327 \h </w:instrText>
            </w:r>
            <w:r>
              <w:rPr>
                <w:noProof/>
                <w:webHidden/>
              </w:rPr>
            </w:r>
            <w:r>
              <w:rPr>
                <w:noProof/>
                <w:webHidden/>
              </w:rPr>
              <w:fldChar w:fldCharType="separate"/>
            </w:r>
            <w:r>
              <w:rPr>
                <w:noProof/>
                <w:webHidden/>
              </w:rPr>
              <w:t>84</w:t>
            </w:r>
            <w:r>
              <w:rPr>
                <w:noProof/>
                <w:webHidden/>
              </w:rPr>
              <w:fldChar w:fldCharType="end"/>
            </w:r>
          </w:hyperlink>
        </w:p>
        <w:p w14:paraId="572C5520" w14:textId="489B8573"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28" w:history="1">
            <w:r w:rsidRPr="00385616">
              <w:rPr>
                <w:rStyle w:val="-"/>
                <w:noProof/>
              </w:rPr>
              <w:t>4.6.1</w:t>
            </w:r>
            <w:r>
              <w:rPr>
                <w:rFonts w:asciiTheme="minorHAnsi" w:eastAsiaTheme="minorEastAsia" w:hAnsiTheme="minorHAnsi"/>
                <w:noProof/>
                <w:lang w:val="en-GB" w:eastAsia="en-GB"/>
              </w:rPr>
              <w:tab/>
            </w:r>
            <w:r w:rsidRPr="00385616">
              <w:rPr>
                <w:rStyle w:val="-"/>
                <w:noProof/>
              </w:rPr>
              <w:t>Η αντιμετώπιση των WAPS στους δείκτες EEDI και EEXI</w:t>
            </w:r>
            <w:r>
              <w:rPr>
                <w:noProof/>
                <w:webHidden/>
              </w:rPr>
              <w:tab/>
            </w:r>
            <w:r>
              <w:rPr>
                <w:noProof/>
                <w:webHidden/>
              </w:rPr>
              <w:fldChar w:fldCharType="begin"/>
            </w:r>
            <w:r>
              <w:rPr>
                <w:noProof/>
                <w:webHidden/>
              </w:rPr>
              <w:instrText xml:space="preserve"> PAGEREF _Toc243355328 \h </w:instrText>
            </w:r>
            <w:r>
              <w:rPr>
                <w:noProof/>
                <w:webHidden/>
              </w:rPr>
            </w:r>
            <w:r>
              <w:rPr>
                <w:noProof/>
                <w:webHidden/>
              </w:rPr>
              <w:fldChar w:fldCharType="separate"/>
            </w:r>
            <w:r>
              <w:rPr>
                <w:noProof/>
                <w:webHidden/>
              </w:rPr>
              <w:t>84</w:t>
            </w:r>
            <w:r>
              <w:rPr>
                <w:noProof/>
                <w:webHidden/>
              </w:rPr>
              <w:fldChar w:fldCharType="end"/>
            </w:r>
          </w:hyperlink>
        </w:p>
        <w:p w14:paraId="5ACA8317" w14:textId="7ACD0972"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29" w:history="1">
            <w:r w:rsidRPr="00385616">
              <w:rPr>
                <w:rStyle w:val="-"/>
                <w:noProof/>
              </w:rPr>
              <w:t>4.6.2</w:t>
            </w:r>
            <w:r>
              <w:rPr>
                <w:rFonts w:asciiTheme="minorHAnsi" w:eastAsiaTheme="minorEastAsia" w:hAnsiTheme="minorHAnsi"/>
                <w:noProof/>
                <w:lang w:val="en-GB" w:eastAsia="en-GB"/>
              </w:rPr>
              <w:tab/>
            </w:r>
            <w:r w:rsidRPr="00385616">
              <w:rPr>
                <w:rStyle w:val="-"/>
                <w:noProof/>
              </w:rPr>
              <w:t>Επαλήθευση της επίδοσης</w:t>
            </w:r>
            <w:r>
              <w:rPr>
                <w:noProof/>
                <w:webHidden/>
              </w:rPr>
              <w:tab/>
            </w:r>
            <w:r>
              <w:rPr>
                <w:noProof/>
                <w:webHidden/>
              </w:rPr>
              <w:fldChar w:fldCharType="begin"/>
            </w:r>
            <w:r>
              <w:rPr>
                <w:noProof/>
                <w:webHidden/>
              </w:rPr>
              <w:instrText xml:space="preserve"> PAGEREF _Toc243355329 \h </w:instrText>
            </w:r>
            <w:r>
              <w:rPr>
                <w:noProof/>
                <w:webHidden/>
              </w:rPr>
            </w:r>
            <w:r>
              <w:rPr>
                <w:noProof/>
                <w:webHidden/>
              </w:rPr>
              <w:fldChar w:fldCharType="separate"/>
            </w:r>
            <w:r>
              <w:rPr>
                <w:noProof/>
                <w:webHidden/>
              </w:rPr>
              <w:t>85</w:t>
            </w:r>
            <w:r>
              <w:rPr>
                <w:noProof/>
                <w:webHidden/>
              </w:rPr>
              <w:fldChar w:fldCharType="end"/>
            </w:r>
          </w:hyperlink>
        </w:p>
        <w:p w14:paraId="2613FAB9" w14:textId="6DB47270"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30" w:history="1">
            <w:r w:rsidRPr="00385616">
              <w:rPr>
                <w:rStyle w:val="-"/>
                <w:noProof/>
              </w:rPr>
              <w:t>4.6.3</w:t>
            </w:r>
            <w:r>
              <w:rPr>
                <w:rFonts w:asciiTheme="minorHAnsi" w:eastAsiaTheme="minorEastAsia" w:hAnsiTheme="minorHAnsi"/>
                <w:noProof/>
                <w:lang w:val="en-GB" w:eastAsia="en-GB"/>
              </w:rPr>
              <w:tab/>
            </w:r>
            <w:r w:rsidRPr="00385616">
              <w:rPr>
                <w:rStyle w:val="-"/>
                <w:noProof/>
              </w:rPr>
              <w:t>Κανόνες των νηογνωμόνων και ανοιχτά κανονιστικά ζητήματα</w:t>
            </w:r>
            <w:r>
              <w:rPr>
                <w:noProof/>
                <w:webHidden/>
              </w:rPr>
              <w:tab/>
            </w:r>
            <w:r>
              <w:rPr>
                <w:noProof/>
                <w:webHidden/>
              </w:rPr>
              <w:fldChar w:fldCharType="begin"/>
            </w:r>
            <w:r>
              <w:rPr>
                <w:noProof/>
                <w:webHidden/>
              </w:rPr>
              <w:instrText xml:space="preserve"> PAGEREF _Toc243355330 \h </w:instrText>
            </w:r>
            <w:r>
              <w:rPr>
                <w:noProof/>
                <w:webHidden/>
              </w:rPr>
            </w:r>
            <w:r>
              <w:rPr>
                <w:noProof/>
                <w:webHidden/>
              </w:rPr>
              <w:fldChar w:fldCharType="separate"/>
            </w:r>
            <w:r>
              <w:rPr>
                <w:noProof/>
                <w:webHidden/>
              </w:rPr>
              <w:t>86</w:t>
            </w:r>
            <w:r>
              <w:rPr>
                <w:noProof/>
                <w:webHidden/>
              </w:rPr>
              <w:fldChar w:fldCharType="end"/>
            </w:r>
          </w:hyperlink>
        </w:p>
        <w:p w14:paraId="67865E3A" w14:textId="452FB88D"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331" w:history="1">
            <w:r w:rsidRPr="00385616">
              <w:rPr>
                <w:rStyle w:val="-"/>
                <w:noProof/>
              </w:rPr>
              <w:t>4.7</w:t>
            </w:r>
            <w:r>
              <w:rPr>
                <w:rFonts w:asciiTheme="minorHAnsi" w:eastAsiaTheme="minorEastAsia" w:hAnsiTheme="minorHAnsi"/>
                <w:noProof/>
                <w:lang w:val="en-GB" w:eastAsia="en-GB"/>
              </w:rPr>
              <w:tab/>
            </w:r>
            <w:r w:rsidRPr="00385616">
              <w:rPr>
                <w:rStyle w:val="-"/>
                <w:noProof/>
              </w:rPr>
              <w:t>Κατάσταση της αγοράς και επίδοση των WAPS</w:t>
            </w:r>
            <w:r>
              <w:rPr>
                <w:noProof/>
                <w:webHidden/>
              </w:rPr>
              <w:tab/>
            </w:r>
            <w:r>
              <w:rPr>
                <w:noProof/>
                <w:webHidden/>
              </w:rPr>
              <w:fldChar w:fldCharType="begin"/>
            </w:r>
            <w:r>
              <w:rPr>
                <w:noProof/>
                <w:webHidden/>
              </w:rPr>
              <w:instrText xml:space="preserve"> PAGEREF _Toc243355331 \h </w:instrText>
            </w:r>
            <w:r>
              <w:rPr>
                <w:noProof/>
                <w:webHidden/>
              </w:rPr>
            </w:r>
            <w:r>
              <w:rPr>
                <w:noProof/>
                <w:webHidden/>
              </w:rPr>
              <w:fldChar w:fldCharType="separate"/>
            </w:r>
            <w:r>
              <w:rPr>
                <w:noProof/>
                <w:webHidden/>
              </w:rPr>
              <w:t>87</w:t>
            </w:r>
            <w:r>
              <w:rPr>
                <w:noProof/>
                <w:webHidden/>
              </w:rPr>
              <w:fldChar w:fldCharType="end"/>
            </w:r>
          </w:hyperlink>
        </w:p>
        <w:p w14:paraId="28D9BACD" w14:textId="54721B95"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32" w:history="1">
            <w:r w:rsidRPr="00385616">
              <w:rPr>
                <w:rStyle w:val="-"/>
                <w:noProof/>
              </w:rPr>
              <w:t>4.7.1</w:t>
            </w:r>
            <w:r>
              <w:rPr>
                <w:rFonts w:asciiTheme="minorHAnsi" w:eastAsiaTheme="minorEastAsia" w:hAnsiTheme="minorHAnsi"/>
                <w:noProof/>
                <w:lang w:val="en-GB" w:eastAsia="en-GB"/>
              </w:rPr>
              <w:tab/>
            </w:r>
            <w:r w:rsidRPr="00385616">
              <w:rPr>
                <w:rStyle w:val="-"/>
                <w:noProof/>
              </w:rPr>
              <w:t>Τεχνολογίες και ωριμότητά τους</w:t>
            </w:r>
            <w:r>
              <w:rPr>
                <w:noProof/>
                <w:webHidden/>
              </w:rPr>
              <w:tab/>
            </w:r>
            <w:r>
              <w:rPr>
                <w:noProof/>
                <w:webHidden/>
              </w:rPr>
              <w:fldChar w:fldCharType="begin"/>
            </w:r>
            <w:r>
              <w:rPr>
                <w:noProof/>
                <w:webHidden/>
              </w:rPr>
              <w:instrText xml:space="preserve"> PAGEREF _Toc243355332 \h </w:instrText>
            </w:r>
            <w:r>
              <w:rPr>
                <w:noProof/>
                <w:webHidden/>
              </w:rPr>
            </w:r>
            <w:r>
              <w:rPr>
                <w:noProof/>
                <w:webHidden/>
              </w:rPr>
              <w:fldChar w:fldCharType="separate"/>
            </w:r>
            <w:r>
              <w:rPr>
                <w:noProof/>
                <w:webHidden/>
              </w:rPr>
              <w:t>87</w:t>
            </w:r>
            <w:r>
              <w:rPr>
                <w:noProof/>
                <w:webHidden/>
              </w:rPr>
              <w:fldChar w:fldCharType="end"/>
            </w:r>
          </w:hyperlink>
        </w:p>
        <w:p w14:paraId="43E01B3F" w14:textId="61165D4A"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33" w:history="1">
            <w:r w:rsidRPr="00385616">
              <w:rPr>
                <w:rStyle w:val="-"/>
                <w:noProof/>
              </w:rPr>
              <w:t>4.7.2</w:t>
            </w:r>
            <w:r>
              <w:rPr>
                <w:rFonts w:asciiTheme="minorHAnsi" w:eastAsiaTheme="minorEastAsia" w:hAnsiTheme="minorHAnsi"/>
                <w:noProof/>
                <w:lang w:val="en-GB" w:eastAsia="en-GB"/>
              </w:rPr>
              <w:tab/>
            </w:r>
            <w:r w:rsidRPr="00385616">
              <w:rPr>
                <w:rStyle w:val="-"/>
                <w:noProof/>
              </w:rPr>
              <w:t>Εγκαταστάσεις και παραγγελίες</w:t>
            </w:r>
            <w:r>
              <w:rPr>
                <w:noProof/>
                <w:webHidden/>
              </w:rPr>
              <w:tab/>
            </w:r>
            <w:r>
              <w:rPr>
                <w:noProof/>
                <w:webHidden/>
              </w:rPr>
              <w:fldChar w:fldCharType="begin"/>
            </w:r>
            <w:r>
              <w:rPr>
                <w:noProof/>
                <w:webHidden/>
              </w:rPr>
              <w:instrText xml:space="preserve"> PAGEREF _Toc243355333 \h </w:instrText>
            </w:r>
            <w:r>
              <w:rPr>
                <w:noProof/>
                <w:webHidden/>
              </w:rPr>
            </w:r>
            <w:r>
              <w:rPr>
                <w:noProof/>
                <w:webHidden/>
              </w:rPr>
              <w:fldChar w:fldCharType="separate"/>
            </w:r>
            <w:r>
              <w:rPr>
                <w:noProof/>
                <w:webHidden/>
              </w:rPr>
              <w:t>89</w:t>
            </w:r>
            <w:r>
              <w:rPr>
                <w:noProof/>
                <w:webHidden/>
              </w:rPr>
              <w:fldChar w:fldCharType="end"/>
            </w:r>
          </w:hyperlink>
        </w:p>
        <w:p w14:paraId="07821263" w14:textId="22594CDF"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34" w:history="1">
            <w:r w:rsidRPr="00385616">
              <w:rPr>
                <w:rStyle w:val="-"/>
                <w:noProof/>
              </w:rPr>
              <w:t>4.7.3</w:t>
            </w:r>
            <w:r>
              <w:rPr>
                <w:rFonts w:asciiTheme="minorHAnsi" w:eastAsiaTheme="minorEastAsia" w:hAnsiTheme="minorHAnsi"/>
                <w:noProof/>
                <w:lang w:val="en-GB" w:eastAsia="en-GB"/>
              </w:rPr>
              <w:tab/>
            </w:r>
            <w:r w:rsidRPr="00385616">
              <w:rPr>
                <w:rStyle w:val="-"/>
                <w:noProof/>
              </w:rPr>
              <w:t>Εξοικονόμηση μετρημένη σε πλοία σε λειτουργία και απόκλιση από τις προσομοιώσεις</w:t>
            </w:r>
            <w:r>
              <w:rPr>
                <w:noProof/>
                <w:webHidden/>
              </w:rPr>
              <w:tab/>
            </w:r>
            <w:r>
              <w:rPr>
                <w:noProof/>
                <w:webHidden/>
              </w:rPr>
              <w:fldChar w:fldCharType="begin"/>
            </w:r>
            <w:r>
              <w:rPr>
                <w:noProof/>
                <w:webHidden/>
              </w:rPr>
              <w:instrText xml:space="preserve"> PAGEREF _Toc243355334 \h </w:instrText>
            </w:r>
            <w:r>
              <w:rPr>
                <w:noProof/>
                <w:webHidden/>
              </w:rPr>
            </w:r>
            <w:r>
              <w:rPr>
                <w:noProof/>
                <w:webHidden/>
              </w:rPr>
              <w:fldChar w:fldCharType="separate"/>
            </w:r>
            <w:r>
              <w:rPr>
                <w:noProof/>
                <w:webHidden/>
              </w:rPr>
              <w:t>91</w:t>
            </w:r>
            <w:r>
              <w:rPr>
                <w:noProof/>
                <w:webHidden/>
              </w:rPr>
              <w:fldChar w:fldCharType="end"/>
            </w:r>
          </w:hyperlink>
        </w:p>
        <w:p w14:paraId="240812EB" w14:textId="6DAF7205"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35" w:history="1">
            <w:r w:rsidRPr="00385616">
              <w:rPr>
                <w:rStyle w:val="-"/>
                <w:noProof/>
              </w:rPr>
              <w:t>4.7.4</w:t>
            </w:r>
            <w:r>
              <w:rPr>
                <w:rFonts w:asciiTheme="minorHAnsi" w:eastAsiaTheme="minorEastAsia" w:hAnsiTheme="minorHAnsi"/>
                <w:noProof/>
                <w:lang w:val="en-GB" w:eastAsia="en-GB"/>
              </w:rPr>
              <w:tab/>
            </w:r>
            <w:r w:rsidRPr="00385616">
              <w:rPr>
                <w:rStyle w:val="-"/>
                <w:noProof/>
              </w:rPr>
              <w:t>Μελέτες βάσει διαδρομών και μελέτες προσομοίωσης</w:t>
            </w:r>
            <w:r>
              <w:rPr>
                <w:noProof/>
                <w:webHidden/>
              </w:rPr>
              <w:tab/>
            </w:r>
            <w:r>
              <w:rPr>
                <w:noProof/>
                <w:webHidden/>
              </w:rPr>
              <w:fldChar w:fldCharType="begin"/>
            </w:r>
            <w:r>
              <w:rPr>
                <w:noProof/>
                <w:webHidden/>
              </w:rPr>
              <w:instrText xml:space="preserve"> PAGEREF _Toc243355335 \h </w:instrText>
            </w:r>
            <w:r>
              <w:rPr>
                <w:noProof/>
                <w:webHidden/>
              </w:rPr>
            </w:r>
            <w:r>
              <w:rPr>
                <w:noProof/>
                <w:webHidden/>
              </w:rPr>
              <w:fldChar w:fldCharType="separate"/>
            </w:r>
            <w:r>
              <w:rPr>
                <w:noProof/>
                <w:webHidden/>
              </w:rPr>
              <w:t>92</w:t>
            </w:r>
            <w:r>
              <w:rPr>
                <w:noProof/>
                <w:webHidden/>
              </w:rPr>
              <w:fldChar w:fldCharType="end"/>
            </w:r>
          </w:hyperlink>
        </w:p>
        <w:p w14:paraId="64CA88A0" w14:textId="28832CAC"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336" w:history="1">
            <w:r w:rsidRPr="00385616">
              <w:rPr>
                <w:rStyle w:val="-"/>
                <w:noProof/>
              </w:rPr>
              <w:t>4.8</w:t>
            </w:r>
            <w:r>
              <w:rPr>
                <w:rFonts w:asciiTheme="minorHAnsi" w:eastAsiaTheme="minorEastAsia" w:hAnsiTheme="minorHAnsi"/>
                <w:noProof/>
                <w:lang w:val="en-GB" w:eastAsia="en-GB"/>
              </w:rPr>
              <w:tab/>
            </w:r>
            <w:r w:rsidRPr="00385616">
              <w:rPr>
                <w:rStyle w:val="-"/>
                <w:noProof/>
              </w:rPr>
              <w:t>Κόστος, τιμές καυσίμων και εμπόδια στην υιοθέτηση των WAPS</w:t>
            </w:r>
            <w:r>
              <w:rPr>
                <w:noProof/>
                <w:webHidden/>
              </w:rPr>
              <w:tab/>
            </w:r>
            <w:r>
              <w:rPr>
                <w:noProof/>
                <w:webHidden/>
              </w:rPr>
              <w:fldChar w:fldCharType="begin"/>
            </w:r>
            <w:r>
              <w:rPr>
                <w:noProof/>
                <w:webHidden/>
              </w:rPr>
              <w:instrText xml:space="preserve"> PAGEREF _Toc243355336 \h </w:instrText>
            </w:r>
            <w:r>
              <w:rPr>
                <w:noProof/>
                <w:webHidden/>
              </w:rPr>
            </w:r>
            <w:r>
              <w:rPr>
                <w:noProof/>
                <w:webHidden/>
              </w:rPr>
              <w:fldChar w:fldCharType="separate"/>
            </w:r>
            <w:r>
              <w:rPr>
                <w:noProof/>
                <w:webHidden/>
              </w:rPr>
              <w:t>96</w:t>
            </w:r>
            <w:r>
              <w:rPr>
                <w:noProof/>
                <w:webHidden/>
              </w:rPr>
              <w:fldChar w:fldCharType="end"/>
            </w:r>
          </w:hyperlink>
        </w:p>
        <w:p w14:paraId="48E8585D" w14:textId="2CC87FEE"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37" w:history="1">
            <w:r w:rsidRPr="00385616">
              <w:rPr>
                <w:rStyle w:val="-"/>
                <w:noProof/>
              </w:rPr>
              <w:t>4.8.1</w:t>
            </w:r>
            <w:r>
              <w:rPr>
                <w:rFonts w:asciiTheme="minorHAnsi" w:eastAsiaTheme="minorEastAsia" w:hAnsiTheme="minorHAnsi"/>
                <w:noProof/>
                <w:lang w:val="en-GB" w:eastAsia="en-GB"/>
              </w:rPr>
              <w:tab/>
            </w:r>
            <w:r w:rsidRPr="00385616">
              <w:rPr>
                <w:rStyle w:val="-"/>
                <w:noProof/>
              </w:rPr>
              <w:t>Τιμές καυσίμων, ναύλα και μεταβλητότητα</w:t>
            </w:r>
            <w:r>
              <w:rPr>
                <w:noProof/>
                <w:webHidden/>
              </w:rPr>
              <w:tab/>
            </w:r>
            <w:r>
              <w:rPr>
                <w:noProof/>
                <w:webHidden/>
              </w:rPr>
              <w:fldChar w:fldCharType="begin"/>
            </w:r>
            <w:r>
              <w:rPr>
                <w:noProof/>
                <w:webHidden/>
              </w:rPr>
              <w:instrText xml:space="preserve"> PAGEREF _Toc243355337 \h </w:instrText>
            </w:r>
            <w:r>
              <w:rPr>
                <w:noProof/>
                <w:webHidden/>
              </w:rPr>
            </w:r>
            <w:r>
              <w:rPr>
                <w:noProof/>
                <w:webHidden/>
              </w:rPr>
              <w:fldChar w:fldCharType="separate"/>
            </w:r>
            <w:r>
              <w:rPr>
                <w:noProof/>
                <w:webHidden/>
              </w:rPr>
              <w:t>96</w:t>
            </w:r>
            <w:r>
              <w:rPr>
                <w:noProof/>
                <w:webHidden/>
              </w:rPr>
              <w:fldChar w:fldCharType="end"/>
            </w:r>
          </w:hyperlink>
        </w:p>
        <w:p w14:paraId="1492B364" w14:textId="1FA744D6"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38" w:history="1">
            <w:r w:rsidRPr="00385616">
              <w:rPr>
                <w:rStyle w:val="-"/>
                <w:noProof/>
              </w:rPr>
              <w:t>4.8.2</w:t>
            </w:r>
            <w:r>
              <w:rPr>
                <w:rFonts w:asciiTheme="minorHAnsi" w:eastAsiaTheme="minorEastAsia" w:hAnsiTheme="minorHAnsi"/>
                <w:noProof/>
                <w:lang w:val="en-GB" w:eastAsia="en-GB"/>
              </w:rPr>
              <w:tab/>
            </w:r>
            <w:r w:rsidRPr="00385616">
              <w:rPr>
                <w:rStyle w:val="-"/>
                <w:noProof/>
              </w:rPr>
              <w:t>Σχέση της ταχύτητας των πλοίων με τις τιμές καυσίμων</w:t>
            </w:r>
            <w:r>
              <w:rPr>
                <w:noProof/>
                <w:webHidden/>
              </w:rPr>
              <w:tab/>
            </w:r>
            <w:r>
              <w:rPr>
                <w:noProof/>
                <w:webHidden/>
              </w:rPr>
              <w:fldChar w:fldCharType="begin"/>
            </w:r>
            <w:r>
              <w:rPr>
                <w:noProof/>
                <w:webHidden/>
              </w:rPr>
              <w:instrText xml:space="preserve"> PAGEREF _Toc243355338 \h </w:instrText>
            </w:r>
            <w:r>
              <w:rPr>
                <w:noProof/>
                <w:webHidden/>
              </w:rPr>
            </w:r>
            <w:r>
              <w:rPr>
                <w:noProof/>
                <w:webHidden/>
              </w:rPr>
              <w:fldChar w:fldCharType="separate"/>
            </w:r>
            <w:r>
              <w:rPr>
                <w:noProof/>
                <w:webHidden/>
              </w:rPr>
              <w:t>97</w:t>
            </w:r>
            <w:r>
              <w:rPr>
                <w:noProof/>
                <w:webHidden/>
              </w:rPr>
              <w:fldChar w:fldCharType="end"/>
            </w:r>
          </w:hyperlink>
        </w:p>
        <w:p w14:paraId="5AF8C15E" w14:textId="35E80AF2"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39" w:history="1">
            <w:r w:rsidRPr="00385616">
              <w:rPr>
                <w:rStyle w:val="-"/>
                <w:noProof/>
              </w:rPr>
              <w:t>4.8.3</w:t>
            </w:r>
            <w:r>
              <w:rPr>
                <w:rFonts w:asciiTheme="minorHAnsi" w:eastAsiaTheme="minorEastAsia" w:hAnsiTheme="minorHAnsi"/>
                <w:noProof/>
                <w:lang w:val="en-GB" w:eastAsia="en-GB"/>
              </w:rPr>
              <w:tab/>
            </w:r>
            <w:r w:rsidRPr="00385616">
              <w:rPr>
                <w:rStyle w:val="-"/>
                <w:noProof/>
              </w:rPr>
              <w:t>Κόστος επένδυσης και αποπληρωμή</w:t>
            </w:r>
            <w:r>
              <w:rPr>
                <w:noProof/>
                <w:webHidden/>
              </w:rPr>
              <w:tab/>
            </w:r>
            <w:r>
              <w:rPr>
                <w:noProof/>
                <w:webHidden/>
              </w:rPr>
              <w:fldChar w:fldCharType="begin"/>
            </w:r>
            <w:r>
              <w:rPr>
                <w:noProof/>
                <w:webHidden/>
              </w:rPr>
              <w:instrText xml:space="preserve"> PAGEREF _Toc243355339 \h </w:instrText>
            </w:r>
            <w:r>
              <w:rPr>
                <w:noProof/>
                <w:webHidden/>
              </w:rPr>
            </w:r>
            <w:r>
              <w:rPr>
                <w:noProof/>
                <w:webHidden/>
              </w:rPr>
              <w:fldChar w:fldCharType="separate"/>
            </w:r>
            <w:r>
              <w:rPr>
                <w:noProof/>
                <w:webHidden/>
              </w:rPr>
              <w:t>98</w:t>
            </w:r>
            <w:r>
              <w:rPr>
                <w:noProof/>
                <w:webHidden/>
              </w:rPr>
              <w:fldChar w:fldCharType="end"/>
            </w:r>
          </w:hyperlink>
        </w:p>
        <w:p w14:paraId="141F1C47" w14:textId="5B26CBB8"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40" w:history="1">
            <w:r w:rsidRPr="00385616">
              <w:rPr>
                <w:rStyle w:val="-"/>
                <w:noProof/>
              </w:rPr>
              <w:t>4.8.4</w:t>
            </w:r>
            <w:r>
              <w:rPr>
                <w:rFonts w:asciiTheme="minorHAnsi" w:eastAsiaTheme="minorEastAsia" w:hAnsiTheme="minorHAnsi"/>
                <w:noProof/>
                <w:lang w:val="en-GB" w:eastAsia="en-GB"/>
              </w:rPr>
              <w:tab/>
            </w:r>
            <w:r w:rsidRPr="00385616">
              <w:rPr>
                <w:rStyle w:val="-"/>
                <w:noProof/>
              </w:rPr>
              <w:t>Κινητήριοι παράγοντες και εμπόδια στην υιοθέτηση</w:t>
            </w:r>
            <w:r>
              <w:rPr>
                <w:noProof/>
                <w:webHidden/>
              </w:rPr>
              <w:tab/>
            </w:r>
            <w:r>
              <w:rPr>
                <w:noProof/>
                <w:webHidden/>
              </w:rPr>
              <w:fldChar w:fldCharType="begin"/>
            </w:r>
            <w:r>
              <w:rPr>
                <w:noProof/>
                <w:webHidden/>
              </w:rPr>
              <w:instrText xml:space="preserve"> PAGEREF _Toc243355340 \h </w:instrText>
            </w:r>
            <w:r>
              <w:rPr>
                <w:noProof/>
                <w:webHidden/>
              </w:rPr>
            </w:r>
            <w:r>
              <w:rPr>
                <w:noProof/>
                <w:webHidden/>
              </w:rPr>
              <w:fldChar w:fldCharType="separate"/>
            </w:r>
            <w:r>
              <w:rPr>
                <w:noProof/>
                <w:webHidden/>
              </w:rPr>
              <w:t>98</w:t>
            </w:r>
            <w:r>
              <w:rPr>
                <w:noProof/>
                <w:webHidden/>
              </w:rPr>
              <w:fldChar w:fldCharType="end"/>
            </w:r>
          </w:hyperlink>
        </w:p>
        <w:p w14:paraId="088C7D34" w14:textId="26F2BF0E"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41" w:history="1">
            <w:r w:rsidRPr="00385616">
              <w:rPr>
                <w:rStyle w:val="-"/>
                <w:noProof/>
              </w:rPr>
              <w:t>4.8.5</w:t>
            </w:r>
            <w:r>
              <w:rPr>
                <w:rFonts w:asciiTheme="minorHAnsi" w:eastAsiaTheme="minorEastAsia" w:hAnsiTheme="minorHAnsi"/>
                <w:noProof/>
                <w:lang w:val="en-GB" w:eastAsia="en-GB"/>
              </w:rPr>
              <w:tab/>
            </w:r>
            <w:r w:rsidRPr="00385616">
              <w:rPr>
                <w:rStyle w:val="-"/>
                <w:noProof/>
              </w:rPr>
              <w:t>Μετασκευή και νέα ναυπήγηση</w:t>
            </w:r>
            <w:r>
              <w:rPr>
                <w:noProof/>
                <w:webHidden/>
              </w:rPr>
              <w:tab/>
            </w:r>
            <w:r>
              <w:rPr>
                <w:noProof/>
                <w:webHidden/>
              </w:rPr>
              <w:fldChar w:fldCharType="begin"/>
            </w:r>
            <w:r>
              <w:rPr>
                <w:noProof/>
                <w:webHidden/>
              </w:rPr>
              <w:instrText xml:space="preserve"> PAGEREF _Toc243355341 \h </w:instrText>
            </w:r>
            <w:r>
              <w:rPr>
                <w:noProof/>
                <w:webHidden/>
              </w:rPr>
            </w:r>
            <w:r>
              <w:rPr>
                <w:noProof/>
                <w:webHidden/>
              </w:rPr>
              <w:fldChar w:fldCharType="separate"/>
            </w:r>
            <w:r>
              <w:rPr>
                <w:noProof/>
                <w:webHidden/>
              </w:rPr>
              <w:t>101</w:t>
            </w:r>
            <w:r>
              <w:rPr>
                <w:noProof/>
                <w:webHidden/>
              </w:rPr>
              <w:fldChar w:fldCharType="end"/>
            </w:r>
          </w:hyperlink>
        </w:p>
        <w:p w14:paraId="10ABEA38" w14:textId="6F0671BD"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342" w:history="1">
            <w:r w:rsidRPr="00385616">
              <w:rPr>
                <w:rStyle w:val="-"/>
                <w:noProof/>
              </w:rPr>
              <w:t>4.9</w:t>
            </w:r>
            <w:r>
              <w:rPr>
                <w:rFonts w:asciiTheme="minorHAnsi" w:eastAsiaTheme="minorEastAsia" w:hAnsiTheme="minorHAnsi"/>
                <w:noProof/>
                <w:lang w:val="en-GB" w:eastAsia="en-GB"/>
              </w:rPr>
              <w:tab/>
            </w:r>
            <w:r w:rsidRPr="00385616">
              <w:rPr>
                <w:rStyle w:val="-"/>
                <w:noProof/>
              </w:rPr>
              <w:t>Τα WAPS στο πλαίσιο των εναλλακτικών καυσίμων</w:t>
            </w:r>
            <w:r>
              <w:rPr>
                <w:noProof/>
                <w:webHidden/>
              </w:rPr>
              <w:tab/>
            </w:r>
            <w:r>
              <w:rPr>
                <w:noProof/>
                <w:webHidden/>
              </w:rPr>
              <w:fldChar w:fldCharType="begin"/>
            </w:r>
            <w:r>
              <w:rPr>
                <w:noProof/>
                <w:webHidden/>
              </w:rPr>
              <w:instrText xml:space="preserve"> PAGEREF _Toc243355342 \h </w:instrText>
            </w:r>
            <w:r>
              <w:rPr>
                <w:noProof/>
                <w:webHidden/>
              </w:rPr>
            </w:r>
            <w:r>
              <w:rPr>
                <w:noProof/>
                <w:webHidden/>
              </w:rPr>
              <w:fldChar w:fldCharType="separate"/>
            </w:r>
            <w:r>
              <w:rPr>
                <w:noProof/>
                <w:webHidden/>
              </w:rPr>
              <w:t>101</w:t>
            </w:r>
            <w:r>
              <w:rPr>
                <w:noProof/>
                <w:webHidden/>
              </w:rPr>
              <w:fldChar w:fldCharType="end"/>
            </w:r>
          </w:hyperlink>
        </w:p>
        <w:p w14:paraId="2E450DE8" w14:textId="57B034D7"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43" w:history="1">
            <w:r w:rsidRPr="00385616">
              <w:rPr>
                <w:rStyle w:val="-"/>
                <w:noProof/>
              </w:rPr>
              <w:t>4.9.1</w:t>
            </w:r>
            <w:r>
              <w:rPr>
                <w:rFonts w:asciiTheme="minorHAnsi" w:eastAsiaTheme="minorEastAsia" w:hAnsiTheme="minorHAnsi"/>
                <w:noProof/>
                <w:lang w:val="en-GB" w:eastAsia="en-GB"/>
              </w:rPr>
              <w:tab/>
            </w:r>
            <w:r w:rsidRPr="00385616">
              <w:rPr>
                <w:rStyle w:val="-"/>
                <w:noProof/>
              </w:rPr>
              <w:t>Κόστος και εκπομπές των εναλλακτικών καυσίμων</w:t>
            </w:r>
            <w:r>
              <w:rPr>
                <w:noProof/>
                <w:webHidden/>
              </w:rPr>
              <w:tab/>
            </w:r>
            <w:r>
              <w:rPr>
                <w:noProof/>
                <w:webHidden/>
              </w:rPr>
              <w:fldChar w:fldCharType="begin"/>
            </w:r>
            <w:r>
              <w:rPr>
                <w:noProof/>
                <w:webHidden/>
              </w:rPr>
              <w:instrText xml:space="preserve"> PAGEREF _Toc243355343 \h </w:instrText>
            </w:r>
            <w:r>
              <w:rPr>
                <w:noProof/>
                <w:webHidden/>
              </w:rPr>
            </w:r>
            <w:r>
              <w:rPr>
                <w:noProof/>
                <w:webHidden/>
              </w:rPr>
              <w:fldChar w:fldCharType="separate"/>
            </w:r>
            <w:r>
              <w:rPr>
                <w:noProof/>
                <w:webHidden/>
              </w:rPr>
              <w:t>102</w:t>
            </w:r>
            <w:r>
              <w:rPr>
                <w:noProof/>
                <w:webHidden/>
              </w:rPr>
              <w:fldChar w:fldCharType="end"/>
            </w:r>
          </w:hyperlink>
        </w:p>
        <w:p w14:paraId="2A335386" w14:textId="6AB2C9F7"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44" w:history="1">
            <w:r w:rsidRPr="00385616">
              <w:rPr>
                <w:rStyle w:val="-"/>
                <w:noProof/>
              </w:rPr>
              <w:t>4.9.2</w:t>
            </w:r>
            <w:r>
              <w:rPr>
                <w:rFonts w:asciiTheme="minorHAnsi" w:eastAsiaTheme="minorEastAsia" w:hAnsiTheme="minorHAnsi"/>
                <w:noProof/>
                <w:lang w:val="en-GB" w:eastAsia="en-GB"/>
              </w:rPr>
              <w:tab/>
            </w:r>
            <w:r w:rsidRPr="00385616">
              <w:rPr>
                <w:rStyle w:val="-"/>
                <w:noProof/>
              </w:rPr>
              <w:t>Η αιολική υποβοήθηση σε πολυκριτηριακή αξιολόγηση των οδών απανθρακοποίησης</w:t>
            </w:r>
            <w:r>
              <w:rPr>
                <w:noProof/>
                <w:webHidden/>
              </w:rPr>
              <w:tab/>
            </w:r>
            <w:r>
              <w:rPr>
                <w:noProof/>
                <w:webHidden/>
              </w:rPr>
              <w:fldChar w:fldCharType="begin"/>
            </w:r>
            <w:r>
              <w:rPr>
                <w:noProof/>
                <w:webHidden/>
              </w:rPr>
              <w:instrText xml:space="preserve"> PAGEREF _Toc243355344 \h </w:instrText>
            </w:r>
            <w:r>
              <w:rPr>
                <w:noProof/>
                <w:webHidden/>
              </w:rPr>
            </w:r>
            <w:r>
              <w:rPr>
                <w:noProof/>
                <w:webHidden/>
              </w:rPr>
              <w:fldChar w:fldCharType="separate"/>
            </w:r>
            <w:r>
              <w:rPr>
                <w:noProof/>
                <w:webHidden/>
              </w:rPr>
              <w:t>104</w:t>
            </w:r>
            <w:r>
              <w:rPr>
                <w:noProof/>
                <w:webHidden/>
              </w:rPr>
              <w:fldChar w:fldCharType="end"/>
            </w:r>
          </w:hyperlink>
        </w:p>
        <w:p w14:paraId="0E181825" w14:textId="24282F48"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345" w:history="1">
            <w:r w:rsidRPr="00385616">
              <w:rPr>
                <w:rStyle w:val="-"/>
                <w:noProof/>
              </w:rPr>
              <w:t>4.10</w:t>
            </w:r>
            <w:r>
              <w:rPr>
                <w:rFonts w:asciiTheme="minorHAnsi" w:eastAsiaTheme="minorEastAsia" w:hAnsiTheme="minorHAnsi"/>
                <w:noProof/>
                <w:lang w:val="en-GB" w:eastAsia="en-GB"/>
              </w:rPr>
              <w:tab/>
            </w:r>
            <w:r w:rsidRPr="00385616">
              <w:rPr>
                <w:rStyle w:val="-"/>
                <w:noProof/>
              </w:rPr>
              <w:t>Επιπτώσεις του κανονιστικού πλαισίου στα οικονομικά των WAPS</w:t>
            </w:r>
            <w:r>
              <w:rPr>
                <w:noProof/>
                <w:webHidden/>
              </w:rPr>
              <w:tab/>
            </w:r>
            <w:r>
              <w:rPr>
                <w:noProof/>
                <w:webHidden/>
              </w:rPr>
              <w:fldChar w:fldCharType="begin"/>
            </w:r>
            <w:r>
              <w:rPr>
                <w:noProof/>
                <w:webHidden/>
              </w:rPr>
              <w:instrText xml:space="preserve"> PAGEREF _Toc243355345 \h </w:instrText>
            </w:r>
            <w:r>
              <w:rPr>
                <w:noProof/>
                <w:webHidden/>
              </w:rPr>
            </w:r>
            <w:r>
              <w:rPr>
                <w:noProof/>
                <w:webHidden/>
              </w:rPr>
              <w:fldChar w:fldCharType="separate"/>
            </w:r>
            <w:r>
              <w:rPr>
                <w:noProof/>
                <w:webHidden/>
              </w:rPr>
              <w:t>105</w:t>
            </w:r>
            <w:r>
              <w:rPr>
                <w:noProof/>
                <w:webHidden/>
              </w:rPr>
              <w:fldChar w:fldCharType="end"/>
            </w:r>
          </w:hyperlink>
        </w:p>
        <w:p w14:paraId="4D62FC76" w14:textId="140488C5"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46" w:history="1">
            <w:r w:rsidRPr="00385616">
              <w:rPr>
                <w:rStyle w:val="-"/>
                <w:noProof/>
              </w:rPr>
              <w:t>4.10.1</w:t>
            </w:r>
            <w:r>
              <w:rPr>
                <w:rFonts w:asciiTheme="minorHAnsi" w:eastAsiaTheme="minorEastAsia" w:hAnsiTheme="minorHAnsi"/>
                <w:noProof/>
                <w:lang w:val="en-GB" w:eastAsia="en-GB"/>
              </w:rPr>
              <w:tab/>
            </w:r>
            <w:r w:rsidRPr="00385616">
              <w:rPr>
                <w:rStyle w:val="-"/>
                <w:noProof/>
              </w:rPr>
              <w:t>Αποφευγόμενο κόστος άνθρακα ανά τόνο εξοικονομούμενου καυσίμου</w:t>
            </w:r>
            <w:r>
              <w:rPr>
                <w:noProof/>
                <w:webHidden/>
              </w:rPr>
              <w:tab/>
            </w:r>
            <w:r>
              <w:rPr>
                <w:noProof/>
                <w:webHidden/>
              </w:rPr>
              <w:fldChar w:fldCharType="begin"/>
            </w:r>
            <w:r>
              <w:rPr>
                <w:noProof/>
                <w:webHidden/>
              </w:rPr>
              <w:instrText xml:space="preserve"> PAGEREF _Toc243355346 \h </w:instrText>
            </w:r>
            <w:r>
              <w:rPr>
                <w:noProof/>
                <w:webHidden/>
              </w:rPr>
            </w:r>
            <w:r>
              <w:rPr>
                <w:noProof/>
                <w:webHidden/>
              </w:rPr>
              <w:fldChar w:fldCharType="separate"/>
            </w:r>
            <w:r>
              <w:rPr>
                <w:noProof/>
                <w:webHidden/>
              </w:rPr>
              <w:t>105</w:t>
            </w:r>
            <w:r>
              <w:rPr>
                <w:noProof/>
                <w:webHidden/>
              </w:rPr>
              <w:fldChar w:fldCharType="end"/>
            </w:r>
          </w:hyperlink>
        </w:p>
        <w:p w14:paraId="697C1D78" w14:textId="45FD12BA"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47" w:history="1">
            <w:r w:rsidRPr="00385616">
              <w:rPr>
                <w:rStyle w:val="-"/>
                <w:noProof/>
              </w:rPr>
              <w:t>4.10.2</w:t>
            </w:r>
            <w:r>
              <w:rPr>
                <w:rFonts w:asciiTheme="minorHAnsi" w:eastAsiaTheme="minorEastAsia" w:hAnsiTheme="minorHAnsi"/>
                <w:noProof/>
                <w:lang w:val="en-GB" w:eastAsia="en-GB"/>
              </w:rPr>
              <w:tab/>
            </w:r>
            <w:r w:rsidRPr="00385616">
              <w:rPr>
                <w:rStyle w:val="-"/>
                <w:noProof/>
              </w:rPr>
              <w:t>Το πλαίσιο του FuelEU Maritime και επίδραση του συντελεστή επιβράβευσης αιολικής ενέργειας</w:t>
            </w:r>
            <w:r>
              <w:rPr>
                <w:noProof/>
                <w:webHidden/>
              </w:rPr>
              <w:tab/>
            </w:r>
            <w:r>
              <w:rPr>
                <w:noProof/>
                <w:webHidden/>
              </w:rPr>
              <w:fldChar w:fldCharType="begin"/>
            </w:r>
            <w:r>
              <w:rPr>
                <w:noProof/>
                <w:webHidden/>
              </w:rPr>
              <w:instrText xml:space="preserve"> PAGEREF _Toc243355347 \h </w:instrText>
            </w:r>
            <w:r>
              <w:rPr>
                <w:noProof/>
                <w:webHidden/>
              </w:rPr>
            </w:r>
            <w:r>
              <w:rPr>
                <w:noProof/>
                <w:webHidden/>
              </w:rPr>
              <w:fldChar w:fldCharType="separate"/>
            </w:r>
            <w:r>
              <w:rPr>
                <w:noProof/>
                <w:webHidden/>
              </w:rPr>
              <w:t>106</w:t>
            </w:r>
            <w:r>
              <w:rPr>
                <w:noProof/>
                <w:webHidden/>
              </w:rPr>
              <w:fldChar w:fldCharType="end"/>
            </w:r>
          </w:hyperlink>
        </w:p>
        <w:p w14:paraId="5983864B" w14:textId="3E85ABDB"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48" w:history="1">
            <w:r w:rsidRPr="00385616">
              <w:rPr>
                <w:rStyle w:val="-"/>
                <w:noProof/>
              </w:rPr>
              <w:t>4.10.3</w:t>
            </w:r>
            <w:r>
              <w:rPr>
                <w:rFonts w:asciiTheme="minorHAnsi" w:eastAsiaTheme="minorEastAsia" w:hAnsiTheme="minorHAnsi"/>
                <w:noProof/>
                <w:lang w:val="en-GB" w:eastAsia="en-GB"/>
              </w:rPr>
              <w:tab/>
            </w:r>
            <w:r w:rsidRPr="00385616">
              <w:rPr>
                <w:rStyle w:val="-"/>
                <w:noProof/>
              </w:rPr>
              <w:t>Ενδεικτική αποπληρωμή με βάση το σύνολο ωφελειών</w:t>
            </w:r>
            <w:r>
              <w:rPr>
                <w:noProof/>
                <w:webHidden/>
              </w:rPr>
              <w:tab/>
            </w:r>
            <w:r>
              <w:rPr>
                <w:noProof/>
                <w:webHidden/>
              </w:rPr>
              <w:fldChar w:fldCharType="begin"/>
            </w:r>
            <w:r>
              <w:rPr>
                <w:noProof/>
                <w:webHidden/>
              </w:rPr>
              <w:instrText xml:space="preserve"> PAGEREF _Toc243355348 \h </w:instrText>
            </w:r>
            <w:r>
              <w:rPr>
                <w:noProof/>
                <w:webHidden/>
              </w:rPr>
            </w:r>
            <w:r>
              <w:rPr>
                <w:noProof/>
                <w:webHidden/>
              </w:rPr>
              <w:fldChar w:fldCharType="separate"/>
            </w:r>
            <w:r>
              <w:rPr>
                <w:noProof/>
                <w:webHidden/>
              </w:rPr>
              <w:t>107</w:t>
            </w:r>
            <w:r>
              <w:rPr>
                <w:noProof/>
                <w:webHidden/>
              </w:rPr>
              <w:fldChar w:fldCharType="end"/>
            </w:r>
          </w:hyperlink>
        </w:p>
        <w:p w14:paraId="25C3D532" w14:textId="1EC00BCA"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49" w:history="1">
            <w:r w:rsidRPr="00385616">
              <w:rPr>
                <w:rStyle w:val="-"/>
                <w:noProof/>
              </w:rPr>
              <w:t>4.10.4</w:t>
            </w:r>
            <w:r>
              <w:rPr>
                <w:rFonts w:asciiTheme="minorHAnsi" w:eastAsiaTheme="minorEastAsia" w:hAnsiTheme="minorHAnsi"/>
                <w:noProof/>
                <w:lang w:val="en-GB" w:eastAsia="en-GB"/>
              </w:rPr>
              <w:tab/>
            </w:r>
            <w:r w:rsidRPr="00385616">
              <w:rPr>
                <w:rStyle w:val="-"/>
                <w:noProof/>
              </w:rPr>
              <w:t xml:space="preserve">Τα </w:t>
            </w:r>
            <w:r w:rsidRPr="00385616">
              <w:rPr>
                <w:rStyle w:val="-"/>
                <w:noProof/>
                <w:lang w:val="en-US"/>
              </w:rPr>
              <w:t>WAPS</w:t>
            </w:r>
            <w:r w:rsidRPr="00385616">
              <w:rPr>
                <w:rStyle w:val="-"/>
                <w:noProof/>
              </w:rPr>
              <w:t xml:space="preserve"> σε επίπεδο στόλου</w:t>
            </w:r>
            <w:r>
              <w:rPr>
                <w:noProof/>
                <w:webHidden/>
              </w:rPr>
              <w:tab/>
            </w:r>
            <w:r>
              <w:rPr>
                <w:noProof/>
                <w:webHidden/>
              </w:rPr>
              <w:fldChar w:fldCharType="begin"/>
            </w:r>
            <w:r>
              <w:rPr>
                <w:noProof/>
                <w:webHidden/>
              </w:rPr>
              <w:instrText xml:space="preserve"> PAGEREF _Toc243355349 \h </w:instrText>
            </w:r>
            <w:r>
              <w:rPr>
                <w:noProof/>
                <w:webHidden/>
              </w:rPr>
            </w:r>
            <w:r>
              <w:rPr>
                <w:noProof/>
                <w:webHidden/>
              </w:rPr>
              <w:fldChar w:fldCharType="separate"/>
            </w:r>
            <w:r>
              <w:rPr>
                <w:noProof/>
                <w:webHidden/>
              </w:rPr>
              <w:t>110</w:t>
            </w:r>
            <w:r>
              <w:rPr>
                <w:noProof/>
                <w:webHidden/>
              </w:rPr>
              <w:fldChar w:fldCharType="end"/>
            </w:r>
          </w:hyperlink>
        </w:p>
        <w:p w14:paraId="64D6B2DB" w14:textId="7C05EA27"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350" w:history="1">
            <w:r w:rsidRPr="00385616">
              <w:rPr>
                <w:rStyle w:val="-"/>
                <w:noProof/>
              </w:rPr>
              <w:t>4.11</w:t>
            </w:r>
            <w:r>
              <w:rPr>
                <w:rFonts w:asciiTheme="minorHAnsi" w:eastAsiaTheme="minorEastAsia" w:hAnsiTheme="minorHAnsi"/>
                <w:noProof/>
                <w:lang w:val="en-GB" w:eastAsia="en-GB"/>
              </w:rPr>
              <w:tab/>
            </w:r>
            <w:r w:rsidRPr="00385616">
              <w:rPr>
                <w:rStyle w:val="-"/>
                <w:noProof/>
              </w:rPr>
              <w:t>Σύνοψη</w:t>
            </w:r>
            <w:r>
              <w:rPr>
                <w:noProof/>
                <w:webHidden/>
              </w:rPr>
              <w:tab/>
            </w:r>
            <w:r>
              <w:rPr>
                <w:noProof/>
                <w:webHidden/>
              </w:rPr>
              <w:fldChar w:fldCharType="begin"/>
            </w:r>
            <w:r>
              <w:rPr>
                <w:noProof/>
                <w:webHidden/>
              </w:rPr>
              <w:instrText xml:space="preserve"> PAGEREF _Toc243355350 \h </w:instrText>
            </w:r>
            <w:r>
              <w:rPr>
                <w:noProof/>
                <w:webHidden/>
              </w:rPr>
            </w:r>
            <w:r>
              <w:rPr>
                <w:noProof/>
                <w:webHidden/>
              </w:rPr>
              <w:fldChar w:fldCharType="separate"/>
            </w:r>
            <w:r>
              <w:rPr>
                <w:noProof/>
                <w:webHidden/>
              </w:rPr>
              <w:t>110</w:t>
            </w:r>
            <w:r>
              <w:rPr>
                <w:noProof/>
                <w:webHidden/>
              </w:rPr>
              <w:fldChar w:fldCharType="end"/>
            </w:r>
          </w:hyperlink>
        </w:p>
        <w:p w14:paraId="1B9877A4" w14:textId="0F287A55" w:rsidR="00DE598F" w:rsidRDefault="00DE598F">
          <w:pPr>
            <w:pStyle w:val="12"/>
            <w:tabs>
              <w:tab w:val="left" w:pos="480"/>
              <w:tab w:val="right" w:leader="dot" w:pos="8296"/>
            </w:tabs>
            <w:rPr>
              <w:rFonts w:asciiTheme="minorHAnsi" w:eastAsiaTheme="minorEastAsia" w:hAnsiTheme="minorHAnsi"/>
              <w:noProof/>
              <w:lang w:val="en-GB" w:eastAsia="en-GB"/>
            </w:rPr>
          </w:pPr>
          <w:hyperlink w:anchor="_Toc243355351" w:history="1">
            <w:r w:rsidRPr="00385616">
              <w:rPr>
                <w:rStyle w:val="-"/>
                <w:noProof/>
              </w:rPr>
              <w:t>5</w:t>
            </w:r>
            <w:r>
              <w:rPr>
                <w:rFonts w:asciiTheme="minorHAnsi" w:eastAsiaTheme="minorEastAsia" w:hAnsiTheme="minorHAnsi"/>
                <w:noProof/>
                <w:lang w:val="en-GB" w:eastAsia="en-GB"/>
              </w:rPr>
              <w:tab/>
            </w:r>
            <w:r w:rsidRPr="00385616">
              <w:rPr>
                <w:rStyle w:val="-"/>
                <w:noProof/>
              </w:rPr>
              <w:t>Αξιολόγηση ευρημάτων</w:t>
            </w:r>
            <w:r>
              <w:rPr>
                <w:noProof/>
                <w:webHidden/>
              </w:rPr>
              <w:tab/>
            </w:r>
            <w:r>
              <w:rPr>
                <w:noProof/>
                <w:webHidden/>
              </w:rPr>
              <w:fldChar w:fldCharType="begin"/>
            </w:r>
            <w:r>
              <w:rPr>
                <w:noProof/>
                <w:webHidden/>
              </w:rPr>
              <w:instrText xml:space="preserve"> PAGEREF _Toc243355351 \h </w:instrText>
            </w:r>
            <w:r>
              <w:rPr>
                <w:noProof/>
                <w:webHidden/>
              </w:rPr>
            </w:r>
            <w:r>
              <w:rPr>
                <w:noProof/>
                <w:webHidden/>
              </w:rPr>
              <w:fldChar w:fldCharType="separate"/>
            </w:r>
            <w:r>
              <w:rPr>
                <w:noProof/>
                <w:webHidden/>
              </w:rPr>
              <w:t>112</w:t>
            </w:r>
            <w:r>
              <w:rPr>
                <w:noProof/>
                <w:webHidden/>
              </w:rPr>
              <w:fldChar w:fldCharType="end"/>
            </w:r>
          </w:hyperlink>
        </w:p>
        <w:p w14:paraId="4332A0A0" w14:textId="087E927C"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352" w:history="1">
            <w:r w:rsidRPr="00385616">
              <w:rPr>
                <w:rStyle w:val="-"/>
                <w:noProof/>
              </w:rPr>
              <w:t>5.1</w:t>
            </w:r>
            <w:r>
              <w:rPr>
                <w:rFonts w:asciiTheme="minorHAnsi" w:eastAsiaTheme="minorEastAsia" w:hAnsiTheme="minorHAnsi"/>
                <w:noProof/>
                <w:lang w:val="en-GB" w:eastAsia="en-GB"/>
              </w:rPr>
              <w:tab/>
            </w:r>
            <w:r w:rsidRPr="00385616">
              <w:rPr>
                <w:rStyle w:val="-"/>
                <w:noProof/>
              </w:rPr>
              <w:t>Σύνθεση των τεχνικών, οικονομικών και κανονιστικών ευρημάτων</w:t>
            </w:r>
            <w:r>
              <w:rPr>
                <w:noProof/>
                <w:webHidden/>
              </w:rPr>
              <w:tab/>
            </w:r>
            <w:r>
              <w:rPr>
                <w:noProof/>
                <w:webHidden/>
              </w:rPr>
              <w:fldChar w:fldCharType="begin"/>
            </w:r>
            <w:r>
              <w:rPr>
                <w:noProof/>
                <w:webHidden/>
              </w:rPr>
              <w:instrText xml:space="preserve"> PAGEREF _Toc243355352 \h </w:instrText>
            </w:r>
            <w:r>
              <w:rPr>
                <w:noProof/>
                <w:webHidden/>
              </w:rPr>
            </w:r>
            <w:r>
              <w:rPr>
                <w:noProof/>
                <w:webHidden/>
              </w:rPr>
              <w:fldChar w:fldCharType="separate"/>
            </w:r>
            <w:r>
              <w:rPr>
                <w:noProof/>
                <w:webHidden/>
              </w:rPr>
              <w:t>112</w:t>
            </w:r>
            <w:r>
              <w:rPr>
                <w:noProof/>
                <w:webHidden/>
              </w:rPr>
              <w:fldChar w:fldCharType="end"/>
            </w:r>
          </w:hyperlink>
        </w:p>
        <w:p w14:paraId="0848EFFF" w14:textId="25F10980"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353" w:history="1">
            <w:r w:rsidRPr="00385616">
              <w:rPr>
                <w:rStyle w:val="-"/>
                <w:noProof/>
              </w:rPr>
              <w:t>5.2</w:t>
            </w:r>
            <w:r>
              <w:rPr>
                <w:rFonts w:asciiTheme="minorHAnsi" w:eastAsiaTheme="minorEastAsia" w:hAnsiTheme="minorHAnsi"/>
                <w:noProof/>
                <w:lang w:val="en-GB" w:eastAsia="en-GB"/>
              </w:rPr>
              <w:tab/>
            </w:r>
            <w:r w:rsidRPr="00385616">
              <w:rPr>
                <w:rStyle w:val="-"/>
                <w:noProof/>
              </w:rPr>
              <w:t>Σύγκριση των στοιχείων που εξετάστηκαν</w:t>
            </w:r>
            <w:r>
              <w:rPr>
                <w:noProof/>
                <w:webHidden/>
              </w:rPr>
              <w:tab/>
            </w:r>
            <w:r>
              <w:rPr>
                <w:noProof/>
                <w:webHidden/>
              </w:rPr>
              <w:fldChar w:fldCharType="begin"/>
            </w:r>
            <w:r>
              <w:rPr>
                <w:noProof/>
                <w:webHidden/>
              </w:rPr>
              <w:instrText xml:space="preserve"> PAGEREF _Toc243355353 \h </w:instrText>
            </w:r>
            <w:r>
              <w:rPr>
                <w:noProof/>
                <w:webHidden/>
              </w:rPr>
            </w:r>
            <w:r>
              <w:rPr>
                <w:noProof/>
                <w:webHidden/>
              </w:rPr>
              <w:fldChar w:fldCharType="separate"/>
            </w:r>
            <w:r>
              <w:rPr>
                <w:noProof/>
                <w:webHidden/>
              </w:rPr>
              <w:t>114</w:t>
            </w:r>
            <w:r>
              <w:rPr>
                <w:noProof/>
                <w:webHidden/>
              </w:rPr>
              <w:fldChar w:fldCharType="end"/>
            </w:r>
          </w:hyperlink>
        </w:p>
        <w:p w14:paraId="712BC341" w14:textId="27C702D6"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54" w:history="1">
            <w:r w:rsidRPr="00385616">
              <w:rPr>
                <w:rStyle w:val="-"/>
                <w:noProof/>
              </w:rPr>
              <w:t>5.2.1</w:t>
            </w:r>
            <w:r>
              <w:rPr>
                <w:rFonts w:asciiTheme="minorHAnsi" w:eastAsiaTheme="minorEastAsia" w:hAnsiTheme="minorHAnsi"/>
                <w:noProof/>
                <w:lang w:val="en-GB" w:eastAsia="en-GB"/>
              </w:rPr>
              <w:tab/>
            </w:r>
            <w:r w:rsidRPr="00385616">
              <w:rPr>
                <w:rStyle w:val="-"/>
                <w:noProof/>
              </w:rPr>
              <w:t>Εξοικονόμηση από προσομοιώσεις και από μετρήσεις</w:t>
            </w:r>
            <w:r>
              <w:rPr>
                <w:noProof/>
                <w:webHidden/>
              </w:rPr>
              <w:tab/>
            </w:r>
            <w:r>
              <w:rPr>
                <w:noProof/>
                <w:webHidden/>
              </w:rPr>
              <w:fldChar w:fldCharType="begin"/>
            </w:r>
            <w:r>
              <w:rPr>
                <w:noProof/>
                <w:webHidden/>
              </w:rPr>
              <w:instrText xml:space="preserve"> PAGEREF _Toc243355354 \h </w:instrText>
            </w:r>
            <w:r>
              <w:rPr>
                <w:noProof/>
                <w:webHidden/>
              </w:rPr>
            </w:r>
            <w:r>
              <w:rPr>
                <w:noProof/>
                <w:webHidden/>
              </w:rPr>
              <w:fldChar w:fldCharType="separate"/>
            </w:r>
            <w:r>
              <w:rPr>
                <w:noProof/>
                <w:webHidden/>
              </w:rPr>
              <w:t>115</w:t>
            </w:r>
            <w:r>
              <w:rPr>
                <w:noProof/>
                <w:webHidden/>
              </w:rPr>
              <w:fldChar w:fldCharType="end"/>
            </w:r>
          </w:hyperlink>
        </w:p>
        <w:p w14:paraId="36EE889A" w14:textId="491CED4E" w:rsidR="00DE598F" w:rsidRDefault="00DE598F">
          <w:pPr>
            <w:pStyle w:val="31"/>
            <w:tabs>
              <w:tab w:val="left" w:pos="1440"/>
              <w:tab w:val="right" w:leader="dot" w:pos="8296"/>
            </w:tabs>
            <w:rPr>
              <w:rFonts w:asciiTheme="minorHAnsi" w:eastAsiaTheme="minorEastAsia" w:hAnsiTheme="minorHAnsi"/>
              <w:noProof/>
              <w:lang w:val="en-GB" w:eastAsia="en-GB"/>
            </w:rPr>
          </w:pPr>
          <w:hyperlink w:anchor="_Toc243355355" w:history="1">
            <w:r w:rsidRPr="00385616">
              <w:rPr>
                <w:rStyle w:val="-"/>
                <w:noProof/>
              </w:rPr>
              <w:t>5.2.2</w:t>
            </w:r>
            <w:r>
              <w:rPr>
                <w:rFonts w:asciiTheme="minorHAnsi" w:eastAsiaTheme="minorEastAsia" w:hAnsiTheme="minorHAnsi"/>
                <w:noProof/>
                <w:lang w:val="en-GB" w:eastAsia="en-GB"/>
              </w:rPr>
              <w:tab/>
            </w:r>
            <w:r w:rsidRPr="00385616">
              <w:rPr>
                <w:rStyle w:val="-"/>
                <w:noProof/>
              </w:rPr>
              <w:t>Σημεία σύγκλισης και απόκλισης ως προς την οικονομική βιωσιμότητα</w:t>
            </w:r>
            <w:r>
              <w:rPr>
                <w:noProof/>
                <w:webHidden/>
              </w:rPr>
              <w:tab/>
            </w:r>
            <w:r>
              <w:rPr>
                <w:noProof/>
                <w:webHidden/>
              </w:rPr>
              <w:fldChar w:fldCharType="begin"/>
            </w:r>
            <w:r>
              <w:rPr>
                <w:noProof/>
                <w:webHidden/>
              </w:rPr>
              <w:instrText xml:space="preserve"> PAGEREF _Toc243355355 \h </w:instrText>
            </w:r>
            <w:r>
              <w:rPr>
                <w:noProof/>
                <w:webHidden/>
              </w:rPr>
            </w:r>
            <w:r>
              <w:rPr>
                <w:noProof/>
                <w:webHidden/>
              </w:rPr>
              <w:fldChar w:fldCharType="separate"/>
            </w:r>
            <w:r>
              <w:rPr>
                <w:noProof/>
                <w:webHidden/>
              </w:rPr>
              <w:t>116</w:t>
            </w:r>
            <w:r>
              <w:rPr>
                <w:noProof/>
                <w:webHidden/>
              </w:rPr>
              <w:fldChar w:fldCharType="end"/>
            </w:r>
          </w:hyperlink>
        </w:p>
        <w:p w14:paraId="77FB5CAD" w14:textId="2B515C3B"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356" w:history="1">
            <w:r w:rsidRPr="00385616">
              <w:rPr>
                <w:rStyle w:val="-"/>
                <w:noProof/>
              </w:rPr>
              <w:t>5.3</w:t>
            </w:r>
            <w:r>
              <w:rPr>
                <w:rFonts w:asciiTheme="minorHAnsi" w:eastAsiaTheme="minorEastAsia" w:hAnsiTheme="minorHAnsi"/>
                <w:noProof/>
                <w:lang w:val="en-GB" w:eastAsia="en-GB"/>
              </w:rPr>
              <w:tab/>
            </w:r>
            <w:r w:rsidRPr="00385616">
              <w:rPr>
                <w:rStyle w:val="-"/>
                <w:noProof/>
              </w:rPr>
              <w:t>WAPS, εναλλακτικά καύσιμα και η πορεία απανθρακοποίησης</w:t>
            </w:r>
            <w:r>
              <w:rPr>
                <w:noProof/>
                <w:webHidden/>
              </w:rPr>
              <w:tab/>
            </w:r>
            <w:r>
              <w:rPr>
                <w:noProof/>
                <w:webHidden/>
              </w:rPr>
              <w:fldChar w:fldCharType="begin"/>
            </w:r>
            <w:r>
              <w:rPr>
                <w:noProof/>
                <w:webHidden/>
              </w:rPr>
              <w:instrText xml:space="preserve"> PAGEREF _Toc243355356 \h </w:instrText>
            </w:r>
            <w:r>
              <w:rPr>
                <w:noProof/>
                <w:webHidden/>
              </w:rPr>
            </w:r>
            <w:r>
              <w:rPr>
                <w:noProof/>
                <w:webHidden/>
              </w:rPr>
              <w:fldChar w:fldCharType="separate"/>
            </w:r>
            <w:r>
              <w:rPr>
                <w:noProof/>
                <w:webHidden/>
              </w:rPr>
              <w:t>116</w:t>
            </w:r>
            <w:r>
              <w:rPr>
                <w:noProof/>
                <w:webHidden/>
              </w:rPr>
              <w:fldChar w:fldCharType="end"/>
            </w:r>
          </w:hyperlink>
        </w:p>
        <w:p w14:paraId="011F45CC" w14:textId="5FCCF1F7"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357" w:history="1">
            <w:r w:rsidRPr="00385616">
              <w:rPr>
                <w:rStyle w:val="-"/>
                <w:noProof/>
              </w:rPr>
              <w:t>5.4</w:t>
            </w:r>
            <w:r>
              <w:rPr>
                <w:rFonts w:asciiTheme="minorHAnsi" w:eastAsiaTheme="minorEastAsia" w:hAnsiTheme="minorHAnsi"/>
                <w:noProof/>
                <w:lang w:val="en-GB" w:eastAsia="en-GB"/>
              </w:rPr>
              <w:tab/>
            </w:r>
            <w:r w:rsidRPr="00385616">
              <w:rPr>
                <w:rStyle w:val="-"/>
                <w:noProof/>
              </w:rPr>
              <w:t>Υιοθέτηση και σχεδιασμός πολιτικής</w:t>
            </w:r>
            <w:r>
              <w:rPr>
                <w:noProof/>
                <w:webHidden/>
              </w:rPr>
              <w:tab/>
            </w:r>
            <w:r>
              <w:rPr>
                <w:noProof/>
                <w:webHidden/>
              </w:rPr>
              <w:fldChar w:fldCharType="begin"/>
            </w:r>
            <w:r>
              <w:rPr>
                <w:noProof/>
                <w:webHidden/>
              </w:rPr>
              <w:instrText xml:space="preserve"> PAGEREF _Toc243355357 \h </w:instrText>
            </w:r>
            <w:r>
              <w:rPr>
                <w:noProof/>
                <w:webHidden/>
              </w:rPr>
            </w:r>
            <w:r>
              <w:rPr>
                <w:noProof/>
                <w:webHidden/>
              </w:rPr>
              <w:fldChar w:fldCharType="separate"/>
            </w:r>
            <w:r>
              <w:rPr>
                <w:noProof/>
                <w:webHidden/>
              </w:rPr>
              <w:t>117</w:t>
            </w:r>
            <w:r>
              <w:rPr>
                <w:noProof/>
                <w:webHidden/>
              </w:rPr>
              <w:fldChar w:fldCharType="end"/>
            </w:r>
          </w:hyperlink>
        </w:p>
        <w:p w14:paraId="27C55AC8" w14:textId="3AA19528"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358" w:history="1">
            <w:r w:rsidRPr="00385616">
              <w:rPr>
                <w:rStyle w:val="-"/>
                <w:noProof/>
              </w:rPr>
              <w:t>5.5</w:t>
            </w:r>
            <w:r>
              <w:rPr>
                <w:rFonts w:asciiTheme="minorHAnsi" w:eastAsiaTheme="minorEastAsia" w:hAnsiTheme="minorHAnsi"/>
                <w:noProof/>
                <w:lang w:val="en-GB" w:eastAsia="en-GB"/>
              </w:rPr>
              <w:tab/>
            </w:r>
            <w:r w:rsidRPr="00385616">
              <w:rPr>
                <w:rStyle w:val="-"/>
                <w:noProof/>
              </w:rPr>
              <w:t>Περιορισμοί</w:t>
            </w:r>
            <w:r>
              <w:rPr>
                <w:noProof/>
                <w:webHidden/>
              </w:rPr>
              <w:tab/>
            </w:r>
            <w:r>
              <w:rPr>
                <w:noProof/>
                <w:webHidden/>
              </w:rPr>
              <w:fldChar w:fldCharType="begin"/>
            </w:r>
            <w:r>
              <w:rPr>
                <w:noProof/>
                <w:webHidden/>
              </w:rPr>
              <w:instrText xml:space="preserve"> PAGEREF _Toc243355358 \h </w:instrText>
            </w:r>
            <w:r>
              <w:rPr>
                <w:noProof/>
                <w:webHidden/>
              </w:rPr>
            </w:r>
            <w:r>
              <w:rPr>
                <w:noProof/>
                <w:webHidden/>
              </w:rPr>
              <w:fldChar w:fldCharType="separate"/>
            </w:r>
            <w:r>
              <w:rPr>
                <w:noProof/>
                <w:webHidden/>
              </w:rPr>
              <w:t>117</w:t>
            </w:r>
            <w:r>
              <w:rPr>
                <w:noProof/>
                <w:webHidden/>
              </w:rPr>
              <w:fldChar w:fldCharType="end"/>
            </w:r>
          </w:hyperlink>
        </w:p>
        <w:p w14:paraId="593882EC" w14:textId="3A9AD1ED"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359" w:history="1">
            <w:r w:rsidRPr="00385616">
              <w:rPr>
                <w:rStyle w:val="-"/>
                <w:noProof/>
              </w:rPr>
              <w:t>5.6</w:t>
            </w:r>
            <w:r>
              <w:rPr>
                <w:rFonts w:asciiTheme="minorHAnsi" w:eastAsiaTheme="minorEastAsia" w:hAnsiTheme="minorHAnsi"/>
                <w:noProof/>
                <w:lang w:val="en-GB" w:eastAsia="en-GB"/>
              </w:rPr>
              <w:tab/>
            </w:r>
            <w:r w:rsidRPr="00385616">
              <w:rPr>
                <w:rStyle w:val="-"/>
                <w:noProof/>
              </w:rPr>
              <w:t>Επιπτώσεις για τους εμπλεκόμενους φορείς</w:t>
            </w:r>
            <w:r>
              <w:rPr>
                <w:noProof/>
                <w:webHidden/>
              </w:rPr>
              <w:tab/>
            </w:r>
            <w:r>
              <w:rPr>
                <w:noProof/>
                <w:webHidden/>
              </w:rPr>
              <w:fldChar w:fldCharType="begin"/>
            </w:r>
            <w:r>
              <w:rPr>
                <w:noProof/>
                <w:webHidden/>
              </w:rPr>
              <w:instrText xml:space="preserve"> PAGEREF _Toc243355359 \h </w:instrText>
            </w:r>
            <w:r>
              <w:rPr>
                <w:noProof/>
                <w:webHidden/>
              </w:rPr>
            </w:r>
            <w:r>
              <w:rPr>
                <w:noProof/>
                <w:webHidden/>
              </w:rPr>
              <w:fldChar w:fldCharType="separate"/>
            </w:r>
            <w:r>
              <w:rPr>
                <w:noProof/>
                <w:webHidden/>
              </w:rPr>
              <w:t>118</w:t>
            </w:r>
            <w:r>
              <w:rPr>
                <w:noProof/>
                <w:webHidden/>
              </w:rPr>
              <w:fldChar w:fldCharType="end"/>
            </w:r>
          </w:hyperlink>
        </w:p>
        <w:p w14:paraId="68037C06" w14:textId="69C49B57" w:rsidR="00DE598F" w:rsidRDefault="00DE598F">
          <w:pPr>
            <w:pStyle w:val="12"/>
            <w:tabs>
              <w:tab w:val="left" w:pos="480"/>
              <w:tab w:val="right" w:leader="dot" w:pos="8296"/>
            </w:tabs>
            <w:rPr>
              <w:rFonts w:asciiTheme="minorHAnsi" w:eastAsiaTheme="minorEastAsia" w:hAnsiTheme="minorHAnsi"/>
              <w:noProof/>
              <w:lang w:val="en-GB" w:eastAsia="en-GB"/>
            </w:rPr>
          </w:pPr>
          <w:hyperlink w:anchor="_Toc243355360" w:history="1">
            <w:r w:rsidRPr="00385616">
              <w:rPr>
                <w:rStyle w:val="-"/>
                <w:noProof/>
              </w:rPr>
              <w:t>6</w:t>
            </w:r>
            <w:r>
              <w:rPr>
                <w:rFonts w:asciiTheme="minorHAnsi" w:eastAsiaTheme="minorEastAsia" w:hAnsiTheme="minorHAnsi"/>
                <w:noProof/>
                <w:lang w:val="en-GB" w:eastAsia="en-GB"/>
              </w:rPr>
              <w:tab/>
            </w:r>
            <w:r w:rsidRPr="00385616">
              <w:rPr>
                <w:rStyle w:val="-"/>
                <w:noProof/>
              </w:rPr>
              <w:t>Συμπεράσματα και σημεία περαιτέρω διερεύνησης</w:t>
            </w:r>
            <w:r>
              <w:rPr>
                <w:noProof/>
                <w:webHidden/>
              </w:rPr>
              <w:tab/>
            </w:r>
            <w:r>
              <w:rPr>
                <w:noProof/>
                <w:webHidden/>
              </w:rPr>
              <w:fldChar w:fldCharType="begin"/>
            </w:r>
            <w:r>
              <w:rPr>
                <w:noProof/>
                <w:webHidden/>
              </w:rPr>
              <w:instrText xml:space="preserve"> PAGEREF _Toc243355360 \h </w:instrText>
            </w:r>
            <w:r>
              <w:rPr>
                <w:noProof/>
                <w:webHidden/>
              </w:rPr>
            </w:r>
            <w:r>
              <w:rPr>
                <w:noProof/>
                <w:webHidden/>
              </w:rPr>
              <w:fldChar w:fldCharType="separate"/>
            </w:r>
            <w:r>
              <w:rPr>
                <w:noProof/>
                <w:webHidden/>
              </w:rPr>
              <w:t>120</w:t>
            </w:r>
            <w:r>
              <w:rPr>
                <w:noProof/>
                <w:webHidden/>
              </w:rPr>
              <w:fldChar w:fldCharType="end"/>
            </w:r>
          </w:hyperlink>
        </w:p>
        <w:p w14:paraId="68B9E412" w14:textId="2293CA9F"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361" w:history="1">
            <w:r w:rsidRPr="00385616">
              <w:rPr>
                <w:rStyle w:val="-"/>
                <w:noProof/>
              </w:rPr>
              <w:t>6.1</w:t>
            </w:r>
            <w:r>
              <w:rPr>
                <w:rFonts w:asciiTheme="minorHAnsi" w:eastAsiaTheme="minorEastAsia" w:hAnsiTheme="minorHAnsi"/>
                <w:noProof/>
                <w:lang w:val="en-GB" w:eastAsia="en-GB"/>
              </w:rPr>
              <w:tab/>
            </w:r>
            <w:r w:rsidRPr="00385616">
              <w:rPr>
                <w:rStyle w:val="-"/>
                <w:noProof/>
              </w:rPr>
              <w:t>Κυριότερα συμπεράσματα</w:t>
            </w:r>
            <w:r>
              <w:rPr>
                <w:noProof/>
                <w:webHidden/>
              </w:rPr>
              <w:tab/>
            </w:r>
            <w:r>
              <w:rPr>
                <w:noProof/>
                <w:webHidden/>
              </w:rPr>
              <w:fldChar w:fldCharType="begin"/>
            </w:r>
            <w:r>
              <w:rPr>
                <w:noProof/>
                <w:webHidden/>
              </w:rPr>
              <w:instrText xml:space="preserve"> PAGEREF _Toc243355361 \h </w:instrText>
            </w:r>
            <w:r>
              <w:rPr>
                <w:noProof/>
                <w:webHidden/>
              </w:rPr>
            </w:r>
            <w:r>
              <w:rPr>
                <w:noProof/>
                <w:webHidden/>
              </w:rPr>
              <w:fldChar w:fldCharType="separate"/>
            </w:r>
            <w:r>
              <w:rPr>
                <w:noProof/>
                <w:webHidden/>
              </w:rPr>
              <w:t>120</w:t>
            </w:r>
            <w:r>
              <w:rPr>
                <w:noProof/>
                <w:webHidden/>
              </w:rPr>
              <w:fldChar w:fldCharType="end"/>
            </w:r>
          </w:hyperlink>
        </w:p>
        <w:p w14:paraId="3E6F63FA" w14:textId="5F1CF1F7" w:rsidR="00DE598F" w:rsidRDefault="00DE598F">
          <w:pPr>
            <w:pStyle w:val="21"/>
            <w:tabs>
              <w:tab w:val="left" w:pos="960"/>
              <w:tab w:val="right" w:leader="dot" w:pos="8296"/>
            </w:tabs>
            <w:rPr>
              <w:rFonts w:asciiTheme="minorHAnsi" w:eastAsiaTheme="minorEastAsia" w:hAnsiTheme="minorHAnsi"/>
              <w:noProof/>
              <w:lang w:val="en-GB" w:eastAsia="en-GB"/>
            </w:rPr>
          </w:pPr>
          <w:hyperlink w:anchor="_Toc243355362" w:history="1">
            <w:r w:rsidRPr="00385616">
              <w:rPr>
                <w:rStyle w:val="-"/>
                <w:noProof/>
              </w:rPr>
              <w:t>6.2</w:t>
            </w:r>
            <w:r>
              <w:rPr>
                <w:rFonts w:asciiTheme="minorHAnsi" w:eastAsiaTheme="minorEastAsia" w:hAnsiTheme="minorHAnsi"/>
                <w:noProof/>
                <w:lang w:val="en-GB" w:eastAsia="en-GB"/>
              </w:rPr>
              <w:tab/>
            </w:r>
            <w:r w:rsidRPr="00385616">
              <w:rPr>
                <w:rStyle w:val="-"/>
                <w:noProof/>
              </w:rPr>
              <w:t>Προτεινόμενα σημεία για περαιτέρω διερεύνηση</w:t>
            </w:r>
            <w:r>
              <w:rPr>
                <w:noProof/>
                <w:webHidden/>
              </w:rPr>
              <w:tab/>
            </w:r>
            <w:r>
              <w:rPr>
                <w:noProof/>
                <w:webHidden/>
              </w:rPr>
              <w:fldChar w:fldCharType="begin"/>
            </w:r>
            <w:r>
              <w:rPr>
                <w:noProof/>
                <w:webHidden/>
              </w:rPr>
              <w:instrText xml:space="preserve"> PAGEREF _Toc243355362 \h </w:instrText>
            </w:r>
            <w:r>
              <w:rPr>
                <w:noProof/>
                <w:webHidden/>
              </w:rPr>
            </w:r>
            <w:r>
              <w:rPr>
                <w:noProof/>
                <w:webHidden/>
              </w:rPr>
              <w:fldChar w:fldCharType="separate"/>
            </w:r>
            <w:r>
              <w:rPr>
                <w:noProof/>
                <w:webHidden/>
              </w:rPr>
              <w:t>122</w:t>
            </w:r>
            <w:r>
              <w:rPr>
                <w:noProof/>
                <w:webHidden/>
              </w:rPr>
              <w:fldChar w:fldCharType="end"/>
            </w:r>
          </w:hyperlink>
        </w:p>
        <w:p w14:paraId="525B34B4" w14:textId="3DF371DE" w:rsidR="00DE598F" w:rsidRDefault="00DE598F">
          <w:pPr>
            <w:pStyle w:val="12"/>
            <w:tabs>
              <w:tab w:val="left" w:pos="480"/>
              <w:tab w:val="right" w:leader="dot" w:pos="8296"/>
            </w:tabs>
            <w:rPr>
              <w:rFonts w:asciiTheme="minorHAnsi" w:eastAsiaTheme="minorEastAsia" w:hAnsiTheme="minorHAnsi"/>
              <w:noProof/>
              <w:lang w:val="en-GB" w:eastAsia="en-GB"/>
            </w:rPr>
          </w:pPr>
          <w:hyperlink w:anchor="_Toc243355363" w:history="1">
            <w:r w:rsidRPr="00385616">
              <w:rPr>
                <w:rStyle w:val="-"/>
                <w:noProof/>
              </w:rPr>
              <w:t>7</w:t>
            </w:r>
            <w:r>
              <w:rPr>
                <w:rFonts w:asciiTheme="minorHAnsi" w:eastAsiaTheme="minorEastAsia" w:hAnsiTheme="minorHAnsi"/>
                <w:noProof/>
                <w:lang w:val="en-GB" w:eastAsia="en-GB"/>
              </w:rPr>
              <w:tab/>
            </w:r>
            <w:r w:rsidRPr="00385616">
              <w:rPr>
                <w:rStyle w:val="-"/>
                <w:noProof/>
              </w:rPr>
              <w:t>Βιβλιογραφία</w:t>
            </w:r>
            <w:r>
              <w:rPr>
                <w:noProof/>
                <w:webHidden/>
              </w:rPr>
              <w:tab/>
            </w:r>
            <w:r>
              <w:rPr>
                <w:noProof/>
                <w:webHidden/>
              </w:rPr>
              <w:fldChar w:fldCharType="begin"/>
            </w:r>
            <w:r>
              <w:rPr>
                <w:noProof/>
                <w:webHidden/>
              </w:rPr>
              <w:instrText xml:space="preserve"> PAGEREF _Toc243355363 \h </w:instrText>
            </w:r>
            <w:r>
              <w:rPr>
                <w:noProof/>
                <w:webHidden/>
              </w:rPr>
            </w:r>
            <w:r>
              <w:rPr>
                <w:noProof/>
                <w:webHidden/>
              </w:rPr>
              <w:fldChar w:fldCharType="separate"/>
            </w:r>
            <w:r>
              <w:rPr>
                <w:noProof/>
                <w:webHidden/>
              </w:rPr>
              <w:t>125</w:t>
            </w:r>
            <w:r>
              <w:rPr>
                <w:noProof/>
                <w:webHidden/>
              </w:rPr>
              <w:fldChar w:fldCharType="end"/>
            </w:r>
          </w:hyperlink>
        </w:p>
        <w:p w14:paraId="76AA6686" w14:textId="1001B0CA" w:rsidR="000558AB" w:rsidRPr="00822C2D" w:rsidRDefault="000C6D29" w:rsidP="00EF3EE0">
          <w:pPr>
            <w:jc w:val="both"/>
          </w:pPr>
          <w:r>
            <w:fldChar w:fldCharType="end"/>
          </w:r>
        </w:p>
      </w:sdtContent>
    </w:sdt>
    <w:p w14:paraId="022C1D1E" w14:textId="77777777" w:rsidR="005728FD" w:rsidRPr="00822C2D" w:rsidRDefault="005728FD" w:rsidP="00EF3EE0">
      <w:pPr>
        <w:jc w:val="both"/>
        <w:rPr>
          <w:rFonts w:cs="Times New Roman"/>
        </w:rPr>
      </w:pPr>
    </w:p>
    <w:p w14:paraId="7165B3E1" w14:textId="77777777" w:rsidR="00933A13" w:rsidRPr="00703925" w:rsidRDefault="00933A13" w:rsidP="00EF3EE0">
      <w:pPr>
        <w:jc w:val="both"/>
        <w:rPr>
          <w:rFonts w:cs="Times New Roman"/>
        </w:rPr>
      </w:pPr>
    </w:p>
    <w:p w14:paraId="65B2B07B" w14:textId="77777777" w:rsidR="003C33E6" w:rsidRPr="00822C2D" w:rsidRDefault="003C33E6" w:rsidP="00EF3EE0">
      <w:pPr>
        <w:jc w:val="both"/>
        <w:rPr>
          <w:rFonts w:cs="Times New Roman"/>
        </w:rPr>
      </w:pPr>
    </w:p>
    <w:p w14:paraId="13294543" w14:textId="77777777" w:rsidR="003C33E6" w:rsidRPr="00822C2D" w:rsidRDefault="003C33E6" w:rsidP="00EF3EE0">
      <w:pPr>
        <w:jc w:val="both"/>
        <w:rPr>
          <w:rFonts w:cs="Times New Roman"/>
        </w:rPr>
      </w:pPr>
    </w:p>
    <w:p w14:paraId="3152E85E" w14:textId="77777777" w:rsidR="003C33E6" w:rsidRPr="00822C2D" w:rsidRDefault="003C33E6" w:rsidP="00EF3EE0">
      <w:pPr>
        <w:jc w:val="both"/>
        <w:rPr>
          <w:rFonts w:cs="Times New Roman"/>
        </w:rPr>
      </w:pPr>
    </w:p>
    <w:p w14:paraId="54A92D7F" w14:textId="77777777" w:rsidR="003C33E6" w:rsidRPr="00822C2D" w:rsidRDefault="003C33E6" w:rsidP="00EF3EE0">
      <w:pPr>
        <w:jc w:val="both"/>
        <w:rPr>
          <w:rFonts w:cs="Times New Roman"/>
        </w:rPr>
      </w:pPr>
    </w:p>
    <w:p w14:paraId="794348AF" w14:textId="77777777" w:rsidR="003C33E6" w:rsidRPr="00822C2D" w:rsidRDefault="003C33E6" w:rsidP="00EF3EE0">
      <w:pPr>
        <w:jc w:val="both"/>
        <w:rPr>
          <w:rFonts w:cs="Times New Roman"/>
        </w:rPr>
      </w:pPr>
    </w:p>
    <w:p w14:paraId="254862D4" w14:textId="77777777" w:rsidR="003C33E6" w:rsidRPr="00822C2D" w:rsidRDefault="003C33E6" w:rsidP="00EF3EE0">
      <w:pPr>
        <w:jc w:val="both"/>
        <w:rPr>
          <w:rFonts w:cs="Times New Roman"/>
        </w:rPr>
      </w:pPr>
    </w:p>
    <w:p w14:paraId="24726938" w14:textId="30E2958D" w:rsidR="00DD5D3D" w:rsidRDefault="00DD5D3D">
      <w:pPr>
        <w:rPr>
          <w:rFonts w:cs="Times New Roman"/>
        </w:rPr>
      </w:pPr>
      <w:r>
        <w:rPr>
          <w:rFonts w:cs="Times New Roman"/>
        </w:rPr>
        <w:br w:type="page"/>
      </w:r>
    </w:p>
    <w:p w14:paraId="543B4A88" w14:textId="33488147" w:rsidR="00DC0BD7" w:rsidRPr="004D3247" w:rsidRDefault="00FE19F6" w:rsidP="004D3247">
      <w:pPr>
        <w:pStyle w:val="10"/>
        <w:numPr>
          <w:ilvl w:val="0"/>
          <w:numId w:val="0"/>
        </w:numPr>
        <w:ind w:left="432" w:hanging="432"/>
        <w:jc w:val="center"/>
        <w:rPr>
          <w:rFonts w:ascii="Times New Roman" w:hAnsi="Times New Roman" w:cs="Times New Roman"/>
          <w:b/>
          <w:bCs/>
          <w:color w:val="auto"/>
          <w:sz w:val="32"/>
          <w:szCs w:val="32"/>
        </w:rPr>
      </w:pPr>
      <w:bookmarkStart w:id="0" w:name="_Toc243077578"/>
      <w:bookmarkStart w:id="1" w:name="_Toc243355264"/>
      <w:r w:rsidRPr="004D3247">
        <w:rPr>
          <w:rFonts w:ascii="Times New Roman" w:hAnsi="Times New Roman" w:cs="Times New Roman"/>
          <w:b/>
          <w:bCs/>
          <w:color w:val="auto"/>
          <w:sz w:val="32"/>
          <w:szCs w:val="32"/>
        </w:rPr>
        <w:lastRenderedPageBreak/>
        <w:t>Περιεχόμενα</w:t>
      </w:r>
      <w:r w:rsidR="00406475" w:rsidRPr="004D3247">
        <w:rPr>
          <w:rFonts w:ascii="Times New Roman" w:hAnsi="Times New Roman" w:cs="Times New Roman"/>
          <w:b/>
          <w:bCs/>
          <w:color w:val="auto"/>
          <w:sz w:val="32"/>
          <w:szCs w:val="32"/>
        </w:rPr>
        <w:t xml:space="preserve"> </w:t>
      </w:r>
      <w:r w:rsidRPr="004D3247">
        <w:rPr>
          <w:rFonts w:ascii="Times New Roman" w:hAnsi="Times New Roman" w:cs="Times New Roman"/>
          <w:b/>
          <w:bCs/>
          <w:color w:val="auto"/>
          <w:sz w:val="32"/>
          <w:szCs w:val="32"/>
        </w:rPr>
        <w:t>Εικόνων</w:t>
      </w:r>
      <w:bookmarkEnd w:id="0"/>
      <w:bookmarkEnd w:id="1"/>
    </w:p>
    <w:p w14:paraId="6171DF0B" w14:textId="7B0182CD" w:rsidR="00DE598F" w:rsidRPr="00DE598F" w:rsidRDefault="003C33E6">
      <w:pPr>
        <w:pStyle w:val="af3"/>
        <w:tabs>
          <w:tab w:val="right" w:leader="dot" w:pos="8296"/>
        </w:tabs>
        <w:rPr>
          <w:rFonts w:asciiTheme="minorHAnsi" w:eastAsiaTheme="minorEastAsia" w:hAnsiTheme="minorHAnsi"/>
          <w:noProof/>
          <w:lang w:val="en-GB" w:eastAsia="en-GB"/>
        </w:rPr>
      </w:pPr>
      <w:r>
        <w:rPr>
          <w:rFonts w:cs="Times New Roman"/>
        </w:rPr>
        <w:fldChar w:fldCharType="begin"/>
      </w:r>
      <w:r>
        <w:rPr>
          <w:rFonts w:cs="Times New Roman"/>
        </w:rPr>
        <w:instrText xml:space="preserve"> TOC \h \z \c "Figure" </w:instrText>
      </w:r>
      <w:r>
        <w:rPr>
          <w:rFonts w:cs="Times New Roman"/>
        </w:rPr>
        <w:fldChar w:fldCharType="separate"/>
      </w:r>
      <w:hyperlink w:anchor="_Toc243355366" w:history="1">
        <w:r w:rsidR="00DE598F" w:rsidRPr="00DE598F">
          <w:rPr>
            <w:rStyle w:val="-"/>
            <w:noProof/>
          </w:rPr>
          <w:t>Εικόνα 1: Διαφορά τιμής των εναλλακτικών ναυτιλιακών καυσίμων έναντι του VLSFO στην περιοχή ARA</w:t>
        </w:r>
        <w:r w:rsidR="00DE598F" w:rsidRPr="00DE598F">
          <w:rPr>
            <w:noProof/>
            <w:webHidden/>
          </w:rPr>
          <w:tab/>
        </w:r>
        <w:r w:rsidR="00DE598F" w:rsidRPr="00DE598F">
          <w:rPr>
            <w:noProof/>
            <w:webHidden/>
          </w:rPr>
          <w:fldChar w:fldCharType="begin"/>
        </w:r>
        <w:r w:rsidR="00DE598F" w:rsidRPr="00DE598F">
          <w:rPr>
            <w:noProof/>
            <w:webHidden/>
          </w:rPr>
          <w:instrText xml:space="preserve"> PAGEREF _Toc243355366 \h </w:instrText>
        </w:r>
        <w:r w:rsidR="00DE598F" w:rsidRPr="00DE598F">
          <w:rPr>
            <w:noProof/>
            <w:webHidden/>
          </w:rPr>
        </w:r>
        <w:r w:rsidR="00DE598F" w:rsidRPr="00DE598F">
          <w:rPr>
            <w:noProof/>
            <w:webHidden/>
          </w:rPr>
          <w:fldChar w:fldCharType="separate"/>
        </w:r>
        <w:r w:rsidR="00DE598F" w:rsidRPr="00DE598F">
          <w:rPr>
            <w:noProof/>
            <w:webHidden/>
          </w:rPr>
          <w:t>26</w:t>
        </w:r>
        <w:r w:rsidR="00DE598F" w:rsidRPr="00DE598F">
          <w:rPr>
            <w:noProof/>
            <w:webHidden/>
          </w:rPr>
          <w:fldChar w:fldCharType="end"/>
        </w:r>
      </w:hyperlink>
    </w:p>
    <w:p w14:paraId="6886909F" w14:textId="27679E40" w:rsidR="00DE598F" w:rsidRPr="00DE598F" w:rsidRDefault="00DE598F">
      <w:pPr>
        <w:pStyle w:val="af3"/>
        <w:tabs>
          <w:tab w:val="right" w:leader="dot" w:pos="8296"/>
        </w:tabs>
        <w:rPr>
          <w:rFonts w:asciiTheme="minorHAnsi" w:eastAsiaTheme="minorEastAsia" w:hAnsiTheme="minorHAnsi"/>
          <w:noProof/>
          <w:lang w:val="en-GB" w:eastAsia="en-GB"/>
        </w:rPr>
      </w:pPr>
      <w:hyperlink w:anchor="_Toc243355367" w:history="1">
        <w:r w:rsidRPr="00DE598F">
          <w:rPr>
            <w:rStyle w:val="-"/>
            <w:noProof/>
          </w:rPr>
          <w:t>Εικόνα 2: Διαφορά τιμής των εναλλακτικών ναυτιλιακών καυσίμων έναντι του VLSFO στην περιοχή του Χιούστον</w:t>
        </w:r>
        <w:r w:rsidRPr="00DE598F">
          <w:rPr>
            <w:noProof/>
            <w:webHidden/>
          </w:rPr>
          <w:tab/>
        </w:r>
        <w:r w:rsidRPr="00DE598F">
          <w:rPr>
            <w:noProof/>
            <w:webHidden/>
          </w:rPr>
          <w:fldChar w:fldCharType="begin"/>
        </w:r>
        <w:r w:rsidRPr="00DE598F">
          <w:rPr>
            <w:noProof/>
            <w:webHidden/>
          </w:rPr>
          <w:instrText xml:space="preserve"> PAGEREF _Toc243355367 \h </w:instrText>
        </w:r>
        <w:r w:rsidRPr="00DE598F">
          <w:rPr>
            <w:noProof/>
            <w:webHidden/>
          </w:rPr>
        </w:r>
        <w:r w:rsidRPr="00DE598F">
          <w:rPr>
            <w:noProof/>
            <w:webHidden/>
          </w:rPr>
          <w:fldChar w:fldCharType="separate"/>
        </w:r>
        <w:r w:rsidRPr="00DE598F">
          <w:rPr>
            <w:noProof/>
            <w:webHidden/>
          </w:rPr>
          <w:t>27</w:t>
        </w:r>
        <w:r w:rsidRPr="00DE598F">
          <w:rPr>
            <w:noProof/>
            <w:webHidden/>
          </w:rPr>
          <w:fldChar w:fldCharType="end"/>
        </w:r>
      </w:hyperlink>
    </w:p>
    <w:p w14:paraId="0D67059F" w14:textId="168E9B18" w:rsidR="00DE598F" w:rsidRPr="00DE598F" w:rsidRDefault="00DE598F">
      <w:pPr>
        <w:pStyle w:val="af3"/>
        <w:tabs>
          <w:tab w:val="right" w:leader="dot" w:pos="8296"/>
        </w:tabs>
        <w:rPr>
          <w:rFonts w:asciiTheme="minorHAnsi" w:eastAsiaTheme="minorEastAsia" w:hAnsiTheme="minorHAnsi"/>
          <w:noProof/>
          <w:lang w:val="en-GB" w:eastAsia="en-GB"/>
        </w:rPr>
      </w:pPr>
      <w:hyperlink w:anchor="_Toc243355368" w:history="1">
        <w:r w:rsidRPr="00DE598F">
          <w:rPr>
            <w:rStyle w:val="-"/>
            <w:noProof/>
          </w:rPr>
          <w:t>Εικόνα 3: Διαφορά τιμής των εναλλακτικών ναυτιλιακών καυσίμων έναντι του VLSFO στην περιοχή της Σιγκαπούρης</w:t>
        </w:r>
        <w:r w:rsidRPr="00DE598F">
          <w:rPr>
            <w:noProof/>
            <w:webHidden/>
          </w:rPr>
          <w:tab/>
        </w:r>
        <w:r w:rsidRPr="00DE598F">
          <w:rPr>
            <w:noProof/>
            <w:webHidden/>
          </w:rPr>
          <w:fldChar w:fldCharType="begin"/>
        </w:r>
        <w:r w:rsidRPr="00DE598F">
          <w:rPr>
            <w:noProof/>
            <w:webHidden/>
          </w:rPr>
          <w:instrText xml:space="preserve"> PAGEREF _Toc243355368 \h </w:instrText>
        </w:r>
        <w:r w:rsidRPr="00DE598F">
          <w:rPr>
            <w:noProof/>
            <w:webHidden/>
          </w:rPr>
        </w:r>
        <w:r w:rsidRPr="00DE598F">
          <w:rPr>
            <w:noProof/>
            <w:webHidden/>
          </w:rPr>
          <w:fldChar w:fldCharType="separate"/>
        </w:r>
        <w:r w:rsidRPr="00DE598F">
          <w:rPr>
            <w:noProof/>
            <w:webHidden/>
          </w:rPr>
          <w:t>28</w:t>
        </w:r>
        <w:r w:rsidRPr="00DE598F">
          <w:rPr>
            <w:noProof/>
            <w:webHidden/>
          </w:rPr>
          <w:fldChar w:fldCharType="end"/>
        </w:r>
      </w:hyperlink>
    </w:p>
    <w:p w14:paraId="444F60C8" w14:textId="00666B0E" w:rsidR="00DE598F" w:rsidRPr="00DE598F" w:rsidRDefault="00DE598F">
      <w:pPr>
        <w:pStyle w:val="af3"/>
        <w:tabs>
          <w:tab w:val="right" w:leader="dot" w:pos="8296"/>
        </w:tabs>
        <w:rPr>
          <w:rFonts w:asciiTheme="minorHAnsi" w:eastAsiaTheme="minorEastAsia" w:hAnsiTheme="minorHAnsi"/>
          <w:noProof/>
          <w:lang w:val="en-GB" w:eastAsia="en-GB"/>
        </w:rPr>
      </w:pPr>
      <w:hyperlink w:anchor="_Toc243355369" w:history="1">
        <w:r w:rsidRPr="00DE598F">
          <w:rPr>
            <w:rStyle w:val="-"/>
            <w:noProof/>
          </w:rPr>
          <w:t>Εικόνα 4: Διαφορά τιμής των εναλλακτικών ναυτιλιακών καυσίμων έναντι του VLSFO στην περιοχή της Fujairah</w:t>
        </w:r>
        <w:r w:rsidRPr="00DE598F">
          <w:rPr>
            <w:noProof/>
            <w:webHidden/>
          </w:rPr>
          <w:tab/>
        </w:r>
        <w:r w:rsidRPr="00DE598F">
          <w:rPr>
            <w:noProof/>
            <w:webHidden/>
          </w:rPr>
          <w:fldChar w:fldCharType="begin"/>
        </w:r>
        <w:r w:rsidRPr="00DE598F">
          <w:rPr>
            <w:noProof/>
            <w:webHidden/>
          </w:rPr>
          <w:instrText xml:space="preserve"> PAGEREF _Toc243355369 \h </w:instrText>
        </w:r>
        <w:r w:rsidRPr="00DE598F">
          <w:rPr>
            <w:noProof/>
            <w:webHidden/>
          </w:rPr>
        </w:r>
        <w:r w:rsidRPr="00DE598F">
          <w:rPr>
            <w:noProof/>
            <w:webHidden/>
          </w:rPr>
          <w:fldChar w:fldCharType="separate"/>
        </w:r>
        <w:r w:rsidRPr="00DE598F">
          <w:rPr>
            <w:noProof/>
            <w:webHidden/>
          </w:rPr>
          <w:t>29</w:t>
        </w:r>
        <w:r w:rsidRPr="00DE598F">
          <w:rPr>
            <w:noProof/>
            <w:webHidden/>
          </w:rPr>
          <w:fldChar w:fldCharType="end"/>
        </w:r>
      </w:hyperlink>
    </w:p>
    <w:p w14:paraId="34409F17" w14:textId="61A42278" w:rsidR="00DE598F" w:rsidRPr="00DE598F" w:rsidRDefault="00DE598F">
      <w:pPr>
        <w:pStyle w:val="af3"/>
        <w:tabs>
          <w:tab w:val="right" w:leader="dot" w:pos="8296"/>
        </w:tabs>
        <w:rPr>
          <w:rFonts w:asciiTheme="minorHAnsi" w:eastAsiaTheme="minorEastAsia" w:hAnsiTheme="minorHAnsi"/>
          <w:noProof/>
          <w:lang w:val="en-GB" w:eastAsia="en-GB"/>
        </w:rPr>
      </w:pPr>
      <w:hyperlink w:anchor="_Toc243355370" w:history="1">
        <w:r w:rsidRPr="00DE598F">
          <w:rPr>
            <w:rStyle w:val="-"/>
            <w:noProof/>
          </w:rPr>
          <w:t>Εικόνα 5: Διαφορά τιμής των εναλλακτικών ναυτιλιακών καυσίμων έναντι του VLSFO στην περιοχή του Zhoushan</w:t>
        </w:r>
        <w:r w:rsidRPr="00DE598F">
          <w:rPr>
            <w:noProof/>
            <w:webHidden/>
          </w:rPr>
          <w:tab/>
        </w:r>
        <w:r w:rsidRPr="00DE598F">
          <w:rPr>
            <w:noProof/>
            <w:webHidden/>
          </w:rPr>
          <w:fldChar w:fldCharType="begin"/>
        </w:r>
        <w:r w:rsidRPr="00DE598F">
          <w:rPr>
            <w:noProof/>
            <w:webHidden/>
          </w:rPr>
          <w:instrText xml:space="preserve"> PAGEREF _Toc243355370 \h </w:instrText>
        </w:r>
        <w:r w:rsidRPr="00DE598F">
          <w:rPr>
            <w:noProof/>
            <w:webHidden/>
          </w:rPr>
        </w:r>
        <w:r w:rsidRPr="00DE598F">
          <w:rPr>
            <w:noProof/>
            <w:webHidden/>
          </w:rPr>
          <w:fldChar w:fldCharType="separate"/>
        </w:r>
        <w:r w:rsidRPr="00DE598F">
          <w:rPr>
            <w:noProof/>
            <w:webHidden/>
          </w:rPr>
          <w:t>30</w:t>
        </w:r>
        <w:r w:rsidRPr="00DE598F">
          <w:rPr>
            <w:noProof/>
            <w:webHidden/>
          </w:rPr>
          <w:fldChar w:fldCharType="end"/>
        </w:r>
      </w:hyperlink>
    </w:p>
    <w:p w14:paraId="2E24054E" w14:textId="42D28E5A" w:rsidR="00DE598F" w:rsidRPr="00DE598F" w:rsidRDefault="00DE598F">
      <w:pPr>
        <w:pStyle w:val="af3"/>
        <w:tabs>
          <w:tab w:val="right" w:leader="dot" w:pos="8296"/>
        </w:tabs>
        <w:rPr>
          <w:rFonts w:asciiTheme="minorHAnsi" w:eastAsiaTheme="minorEastAsia" w:hAnsiTheme="minorHAnsi"/>
          <w:noProof/>
          <w:lang w:val="en-GB" w:eastAsia="en-GB"/>
        </w:rPr>
      </w:pPr>
      <w:hyperlink w:anchor="_Toc243355371" w:history="1">
        <w:r w:rsidRPr="00DE598F">
          <w:rPr>
            <w:rStyle w:val="-"/>
            <w:noProof/>
          </w:rPr>
          <w:t>Εικόνα 6: Διαφορά τιμής των εναλλακτικών ναυτιλιακών καυσίμων έναντι του VLSFO στην περιοχή του Λος Άντζελες</w:t>
        </w:r>
        <w:r w:rsidRPr="00DE598F">
          <w:rPr>
            <w:noProof/>
            <w:webHidden/>
          </w:rPr>
          <w:tab/>
        </w:r>
        <w:r w:rsidRPr="00DE598F">
          <w:rPr>
            <w:noProof/>
            <w:webHidden/>
          </w:rPr>
          <w:fldChar w:fldCharType="begin"/>
        </w:r>
        <w:r w:rsidRPr="00DE598F">
          <w:rPr>
            <w:noProof/>
            <w:webHidden/>
          </w:rPr>
          <w:instrText xml:space="preserve"> PAGEREF _Toc243355371 \h </w:instrText>
        </w:r>
        <w:r w:rsidRPr="00DE598F">
          <w:rPr>
            <w:noProof/>
            <w:webHidden/>
          </w:rPr>
        </w:r>
        <w:r w:rsidRPr="00DE598F">
          <w:rPr>
            <w:noProof/>
            <w:webHidden/>
          </w:rPr>
          <w:fldChar w:fldCharType="separate"/>
        </w:r>
        <w:r w:rsidRPr="00DE598F">
          <w:rPr>
            <w:noProof/>
            <w:webHidden/>
          </w:rPr>
          <w:t>31</w:t>
        </w:r>
        <w:r w:rsidRPr="00DE598F">
          <w:rPr>
            <w:noProof/>
            <w:webHidden/>
          </w:rPr>
          <w:fldChar w:fldCharType="end"/>
        </w:r>
      </w:hyperlink>
    </w:p>
    <w:p w14:paraId="36EC53E8" w14:textId="38421995" w:rsidR="00DE598F" w:rsidRPr="00DE598F" w:rsidRDefault="00DE598F">
      <w:pPr>
        <w:pStyle w:val="af3"/>
        <w:tabs>
          <w:tab w:val="right" w:leader="dot" w:pos="8296"/>
        </w:tabs>
        <w:rPr>
          <w:rFonts w:asciiTheme="minorHAnsi" w:eastAsiaTheme="minorEastAsia" w:hAnsiTheme="minorHAnsi"/>
          <w:noProof/>
          <w:lang w:val="en-GB" w:eastAsia="en-GB"/>
        </w:rPr>
      </w:pPr>
      <w:hyperlink w:anchor="_Toc243355372" w:history="1">
        <w:r w:rsidRPr="00DE598F">
          <w:rPr>
            <w:rStyle w:val="-"/>
            <w:noProof/>
          </w:rPr>
          <w:t>Εικόνα 7: Διαφορά τιμής των εναλλακτικών ναυτιλιακών καυσίμων έναντι του VLSFO στην περιοχή του Γιβραλτάρ</w:t>
        </w:r>
        <w:r w:rsidRPr="00DE598F">
          <w:rPr>
            <w:noProof/>
            <w:webHidden/>
          </w:rPr>
          <w:tab/>
        </w:r>
        <w:r w:rsidRPr="00DE598F">
          <w:rPr>
            <w:noProof/>
            <w:webHidden/>
          </w:rPr>
          <w:fldChar w:fldCharType="begin"/>
        </w:r>
        <w:r w:rsidRPr="00DE598F">
          <w:rPr>
            <w:noProof/>
            <w:webHidden/>
          </w:rPr>
          <w:instrText xml:space="preserve"> PAGEREF _Toc243355372 \h </w:instrText>
        </w:r>
        <w:r w:rsidRPr="00DE598F">
          <w:rPr>
            <w:noProof/>
            <w:webHidden/>
          </w:rPr>
        </w:r>
        <w:r w:rsidRPr="00DE598F">
          <w:rPr>
            <w:noProof/>
            <w:webHidden/>
          </w:rPr>
          <w:fldChar w:fldCharType="separate"/>
        </w:r>
        <w:r w:rsidRPr="00DE598F">
          <w:rPr>
            <w:noProof/>
            <w:webHidden/>
          </w:rPr>
          <w:t>32</w:t>
        </w:r>
        <w:r w:rsidRPr="00DE598F">
          <w:rPr>
            <w:noProof/>
            <w:webHidden/>
          </w:rPr>
          <w:fldChar w:fldCharType="end"/>
        </w:r>
      </w:hyperlink>
    </w:p>
    <w:p w14:paraId="235BCB91" w14:textId="4BB4DBC9" w:rsidR="00DE598F" w:rsidRPr="00DE598F" w:rsidRDefault="00DE598F">
      <w:pPr>
        <w:pStyle w:val="af3"/>
        <w:tabs>
          <w:tab w:val="right" w:leader="dot" w:pos="8296"/>
        </w:tabs>
        <w:rPr>
          <w:rFonts w:asciiTheme="minorHAnsi" w:eastAsiaTheme="minorEastAsia" w:hAnsiTheme="minorHAnsi"/>
          <w:noProof/>
          <w:lang w:val="en-GB" w:eastAsia="en-GB"/>
        </w:rPr>
      </w:pPr>
      <w:hyperlink w:anchor="_Toc243355373" w:history="1">
        <w:r w:rsidRPr="00DE598F">
          <w:rPr>
            <w:rStyle w:val="-"/>
            <w:noProof/>
          </w:rPr>
          <w:t>Εικόνα 8: Διαφορά τιμής των εναλλακτικών ναυτιλιακών καυσίμων έναντι του VLSFO στην περιοχή της Νότιας Βραζιλίας</w:t>
        </w:r>
        <w:r w:rsidRPr="00DE598F">
          <w:rPr>
            <w:noProof/>
            <w:webHidden/>
          </w:rPr>
          <w:tab/>
        </w:r>
        <w:r w:rsidRPr="00DE598F">
          <w:rPr>
            <w:noProof/>
            <w:webHidden/>
          </w:rPr>
          <w:fldChar w:fldCharType="begin"/>
        </w:r>
        <w:r w:rsidRPr="00DE598F">
          <w:rPr>
            <w:noProof/>
            <w:webHidden/>
          </w:rPr>
          <w:instrText xml:space="preserve"> PAGEREF _Toc243355373 \h </w:instrText>
        </w:r>
        <w:r w:rsidRPr="00DE598F">
          <w:rPr>
            <w:noProof/>
            <w:webHidden/>
          </w:rPr>
        </w:r>
        <w:r w:rsidRPr="00DE598F">
          <w:rPr>
            <w:noProof/>
            <w:webHidden/>
          </w:rPr>
          <w:fldChar w:fldCharType="separate"/>
        </w:r>
        <w:r w:rsidRPr="00DE598F">
          <w:rPr>
            <w:noProof/>
            <w:webHidden/>
          </w:rPr>
          <w:t>33</w:t>
        </w:r>
        <w:r w:rsidRPr="00DE598F">
          <w:rPr>
            <w:noProof/>
            <w:webHidden/>
          </w:rPr>
          <w:fldChar w:fldCharType="end"/>
        </w:r>
      </w:hyperlink>
    </w:p>
    <w:p w14:paraId="139D3CD1" w14:textId="39902ED5" w:rsidR="00DE598F" w:rsidRPr="00DE598F" w:rsidRDefault="00DE598F">
      <w:pPr>
        <w:pStyle w:val="af3"/>
        <w:tabs>
          <w:tab w:val="right" w:leader="dot" w:pos="8296"/>
        </w:tabs>
        <w:rPr>
          <w:rFonts w:asciiTheme="minorHAnsi" w:eastAsiaTheme="minorEastAsia" w:hAnsiTheme="minorHAnsi"/>
          <w:noProof/>
          <w:lang w:val="en-GB" w:eastAsia="en-GB"/>
        </w:rPr>
      </w:pPr>
      <w:hyperlink w:anchor="_Toc243355374" w:history="1">
        <w:r w:rsidRPr="00DE598F">
          <w:rPr>
            <w:rStyle w:val="-"/>
            <w:noProof/>
          </w:rPr>
          <w:t>Εικόνα 9: Αναπαράσταση αρχαίας ελληνικής τριήρους, όπου φαίνεται η συνδυασμένη χρήση ιστίων και κουπιών για την πρόωση.</w:t>
        </w:r>
        <w:r w:rsidRPr="00DE598F">
          <w:rPr>
            <w:noProof/>
            <w:webHidden/>
          </w:rPr>
          <w:tab/>
        </w:r>
        <w:r w:rsidRPr="00DE598F">
          <w:rPr>
            <w:noProof/>
            <w:webHidden/>
          </w:rPr>
          <w:fldChar w:fldCharType="begin"/>
        </w:r>
        <w:r w:rsidRPr="00DE598F">
          <w:rPr>
            <w:noProof/>
            <w:webHidden/>
          </w:rPr>
          <w:instrText xml:space="preserve"> PAGEREF _Toc243355374 \h </w:instrText>
        </w:r>
        <w:r w:rsidRPr="00DE598F">
          <w:rPr>
            <w:noProof/>
            <w:webHidden/>
          </w:rPr>
        </w:r>
        <w:r w:rsidRPr="00DE598F">
          <w:rPr>
            <w:noProof/>
            <w:webHidden/>
          </w:rPr>
          <w:fldChar w:fldCharType="separate"/>
        </w:r>
        <w:r w:rsidRPr="00DE598F">
          <w:rPr>
            <w:noProof/>
            <w:webHidden/>
          </w:rPr>
          <w:t>39</w:t>
        </w:r>
        <w:r w:rsidRPr="00DE598F">
          <w:rPr>
            <w:noProof/>
            <w:webHidden/>
          </w:rPr>
          <w:fldChar w:fldCharType="end"/>
        </w:r>
      </w:hyperlink>
    </w:p>
    <w:p w14:paraId="1232C7D0" w14:textId="1398FDD9" w:rsidR="00DE598F" w:rsidRPr="00DE598F" w:rsidRDefault="00DE598F">
      <w:pPr>
        <w:pStyle w:val="af3"/>
        <w:tabs>
          <w:tab w:val="right" w:leader="dot" w:pos="8296"/>
        </w:tabs>
        <w:rPr>
          <w:rFonts w:asciiTheme="minorHAnsi" w:eastAsiaTheme="minorEastAsia" w:hAnsiTheme="minorHAnsi"/>
          <w:noProof/>
          <w:lang w:val="en-GB" w:eastAsia="en-GB"/>
        </w:rPr>
      </w:pPr>
      <w:hyperlink w:anchor="_Toc243355375" w:history="1">
        <w:r w:rsidRPr="00DE598F">
          <w:rPr>
            <w:rStyle w:val="-"/>
            <w:noProof/>
          </w:rPr>
          <w:t>Εικόνα 10: Αρχαίο κινεζικό πλοίο με πτερυγοφόρους τροχούς</w:t>
        </w:r>
        <w:r w:rsidRPr="00DE598F">
          <w:rPr>
            <w:noProof/>
            <w:webHidden/>
          </w:rPr>
          <w:tab/>
        </w:r>
        <w:r w:rsidRPr="00DE598F">
          <w:rPr>
            <w:noProof/>
            <w:webHidden/>
          </w:rPr>
          <w:fldChar w:fldCharType="begin"/>
        </w:r>
        <w:r w:rsidRPr="00DE598F">
          <w:rPr>
            <w:noProof/>
            <w:webHidden/>
          </w:rPr>
          <w:instrText xml:space="preserve"> PAGEREF _Toc243355375 \h </w:instrText>
        </w:r>
        <w:r w:rsidRPr="00DE598F">
          <w:rPr>
            <w:noProof/>
            <w:webHidden/>
          </w:rPr>
        </w:r>
        <w:r w:rsidRPr="00DE598F">
          <w:rPr>
            <w:noProof/>
            <w:webHidden/>
          </w:rPr>
          <w:fldChar w:fldCharType="separate"/>
        </w:r>
        <w:r w:rsidRPr="00DE598F">
          <w:rPr>
            <w:noProof/>
            <w:webHidden/>
          </w:rPr>
          <w:t>40</w:t>
        </w:r>
        <w:r w:rsidRPr="00DE598F">
          <w:rPr>
            <w:noProof/>
            <w:webHidden/>
          </w:rPr>
          <w:fldChar w:fldCharType="end"/>
        </w:r>
      </w:hyperlink>
    </w:p>
    <w:p w14:paraId="41283EA5" w14:textId="4D49FC81" w:rsidR="00DE598F" w:rsidRPr="00DE598F" w:rsidRDefault="00DE598F">
      <w:pPr>
        <w:pStyle w:val="af3"/>
        <w:tabs>
          <w:tab w:val="right" w:leader="dot" w:pos="8296"/>
        </w:tabs>
        <w:rPr>
          <w:rFonts w:asciiTheme="minorHAnsi" w:eastAsiaTheme="minorEastAsia" w:hAnsiTheme="minorHAnsi"/>
          <w:noProof/>
          <w:lang w:val="en-GB" w:eastAsia="en-GB"/>
        </w:rPr>
      </w:pPr>
      <w:hyperlink w:anchor="_Toc243355376" w:history="1">
        <w:r w:rsidRPr="00DE598F">
          <w:rPr>
            <w:rStyle w:val="-"/>
            <w:noProof/>
          </w:rPr>
          <w:t>Εικόνα 11: Ο δρόμων της Βυζαντινής Αυτοκρατορίας</w:t>
        </w:r>
        <w:r w:rsidRPr="00DE598F">
          <w:rPr>
            <w:noProof/>
            <w:webHidden/>
          </w:rPr>
          <w:tab/>
        </w:r>
        <w:r w:rsidRPr="00DE598F">
          <w:rPr>
            <w:noProof/>
            <w:webHidden/>
          </w:rPr>
          <w:fldChar w:fldCharType="begin"/>
        </w:r>
        <w:r w:rsidRPr="00DE598F">
          <w:rPr>
            <w:noProof/>
            <w:webHidden/>
          </w:rPr>
          <w:instrText xml:space="preserve"> PAGEREF _Toc243355376 \h </w:instrText>
        </w:r>
        <w:r w:rsidRPr="00DE598F">
          <w:rPr>
            <w:noProof/>
            <w:webHidden/>
          </w:rPr>
        </w:r>
        <w:r w:rsidRPr="00DE598F">
          <w:rPr>
            <w:noProof/>
            <w:webHidden/>
          </w:rPr>
          <w:fldChar w:fldCharType="separate"/>
        </w:r>
        <w:r w:rsidRPr="00DE598F">
          <w:rPr>
            <w:noProof/>
            <w:webHidden/>
          </w:rPr>
          <w:t>40</w:t>
        </w:r>
        <w:r w:rsidRPr="00DE598F">
          <w:rPr>
            <w:noProof/>
            <w:webHidden/>
          </w:rPr>
          <w:fldChar w:fldCharType="end"/>
        </w:r>
      </w:hyperlink>
    </w:p>
    <w:p w14:paraId="3FF80FBE" w14:textId="0F1459F6" w:rsidR="00DE598F" w:rsidRPr="00DE598F" w:rsidRDefault="00DE598F">
      <w:pPr>
        <w:pStyle w:val="af3"/>
        <w:tabs>
          <w:tab w:val="right" w:leader="dot" w:pos="8296"/>
        </w:tabs>
        <w:rPr>
          <w:rFonts w:asciiTheme="minorHAnsi" w:eastAsiaTheme="minorEastAsia" w:hAnsiTheme="minorHAnsi"/>
          <w:noProof/>
          <w:lang w:val="en-GB" w:eastAsia="en-GB"/>
        </w:rPr>
      </w:pPr>
      <w:hyperlink w:anchor="_Toc243355377" w:history="1">
        <w:r w:rsidRPr="00DE598F">
          <w:rPr>
            <w:rStyle w:val="-"/>
            <w:noProof/>
          </w:rPr>
          <w:t>Εικόνα 12: Σύγχρονο ιστιοφόρο που πλέει προς τον άνεμο (όρτσα), χρησιμοποιώντας τριγωνικά ιστία</w:t>
        </w:r>
        <w:r w:rsidRPr="00DE598F">
          <w:rPr>
            <w:noProof/>
            <w:webHidden/>
          </w:rPr>
          <w:tab/>
        </w:r>
        <w:r w:rsidRPr="00DE598F">
          <w:rPr>
            <w:noProof/>
            <w:webHidden/>
          </w:rPr>
          <w:fldChar w:fldCharType="begin"/>
        </w:r>
        <w:r w:rsidRPr="00DE598F">
          <w:rPr>
            <w:noProof/>
            <w:webHidden/>
          </w:rPr>
          <w:instrText xml:space="preserve"> PAGEREF _Toc243355377 \h </w:instrText>
        </w:r>
        <w:r w:rsidRPr="00DE598F">
          <w:rPr>
            <w:noProof/>
            <w:webHidden/>
          </w:rPr>
        </w:r>
        <w:r w:rsidRPr="00DE598F">
          <w:rPr>
            <w:noProof/>
            <w:webHidden/>
          </w:rPr>
          <w:fldChar w:fldCharType="separate"/>
        </w:r>
        <w:r w:rsidRPr="00DE598F">
          <w:rPr>
            <w:noProof/>
            <w:webHidden/>
          </w:rPr>
          <w:t>41</w:t>
        </w:r>
        <w:r w:rsidRPr="00DE598F">
          <w:rPr>
            <w:noProof/>
            <w:webHidden/>
          </w:rPr>
          <w:fldChar w:fldCharType="end"/>
        </w:r>
      </w:hyperlink>
    </w:p>
    <w:p w14:paraId="2A80B0A9" w14:textId="1D9905FC" w:rsidR="00DE598F" w:rsidRPr="00DE598F" w:rsidRDefault="00DE598F">
      <w:pPr>
        <w:pStyle w:val="af3"/>
        <w:tabs>
          <w:tab w:val="right" w:leader="dot" w:pos="8296"/>
        </w:tabs>
        <w:rPr>
          <w:rFonts w:asciiTheme="minorHAnsi" w:eastAsiaTheme="minorEastAsia" w:hAnsiTheme="minorHAnsi"/>
          <w:noProof/>
          <w:lang w:val="en-GB" w:eastAsia="en-GB"/>
        </w:rPr>
      </w:pPr>
      <w:hyperlink w:anchor="_Toc243355378" w:history="1">
        <w:r w:rsidRPr="00DE598F">
          <w:rPr>
            <w:rStyle w:val="-"/>
            <w:noProof/>
          </w:rPr>
          <w:t>Εικόνα 13: Το Buckau, το πρώτο πλοίο με ρότορες Flettner</w:t>
        </w:r>
        <w:r w:rsidRPr="00DE598F">
          <w:rPr>
            <w:noProof/>
            <w:webHidden/>
          </w:rPr>
          <w:tab/>
        </w:r>
        <w:r w:rsidRPr="00DE598F">
          <w:rPr>
            <w:noProof/>
            <w:webHidden/>
          </w:rPr>
          <w:fldChar w:fldCharType="begin"/>
        </w:r>
        <w:r w:rsidRPr="00DE598F">
          <w:rPr>
            <w:noProof/>
            <w:webHidden/>
          </w:rPr>
          <w:instrText xml:space="preserve"> PAGEREF _Toc243355378 \h </w:instrText>
        </w:r>
        <w:r w:rsidRPr="00DE598F">
          <w:rPr>
            <w:noProof/>
            <w:webHidden/>
          </w:rPr>
        </w:r>
        <w:r w:rsidRPr="00DE598F">
          <w:rPr>
            <w:noProof/>
            <w:webHidden/>
          </w:rPr>
          <w:fldChar w:fldCharType="separate"/>
        </w:r>
        <w:r w:rsidRPr="00DE598F">
          <w:rPr>
            <w:noProof/>
            <w:webHidden/>
          </w:rPr>
          <w:t>42</w:t>
        </w:r>
        <w:r w:rsidRPr="00DE598F">
          <w:rPr>
            <w:noProof/>
            <w:webHidden/>
          </w:rPr>
          <w:fldChar w:fldCharType="end"/>
        </w:r>
      </w:hyperlink>
    </w:p>
    <w:p w14:paraId="2606058F" w14:textId="6D5B4366" w:rsidR="00DE598F" w:rsidRPr="00DE598F" w:rsidRDefault="00DE598F">
      <w:pPr>
        <w:pStyle w:val="af3"/>
        <w:tabs>
          <w:tab w:val="right" w:leader="dot" w:pos="8296"/>
        </w:tabs>
        <w:rPr>
          <w:rFonts w:asciiTheme="minorHAnsi" w:eastAsiaTheme="minorEastAsia" w:hAnsiTheme="minorHAnsi"/>
          <w:noProof/>
          <w:lang w:val="en-GB" w:eastAsia="en-GB"/>
        </w:rPr>
      </w:pPr>
      <w:hyperlink w:anchor="_Toc243355379" w:history="1">
        <w:r w:rsidRPr="00DE598F">
          <w:rPr>
            <w:rStyle w:val="-"/>
            <w:noProof/>
          </w:rPr>
          <w:t>Εικόνα 14: Το δεξαμενόπλοιο Alkyone, 50.000 DWT, μετασκευασμένο με 2 ιστία-ρότορες Norsepower</w:t>
        </w:r>
        <w:r w:rsidRPr="00DE598F">
          <w:rPr>
            <w:noProof/>
            <w:webHidden/>
          </w:rPr>
          <w:tab/>
        </w:r>
        <w:r w:rsidRPr="00DE598F">
          <w:rPr>
            <w:noProof/>
            <w:webHidden/>
          </w:rPr>
          <w:fldChar w:fldCharType="begin"/>
        </w:r>
        <w:r w:rsidRPr="00DE598F">
          <w:rPr>
            <w:noProof/>
            <w:webHidden/>
          </w:rPr>
          <w:instrText xml:space="preserve"> PAGEREF _Toc243355379 \h </w:instrText>
        </w:r>
        <w:r w:rsidRPr="00DE598F">
          <w:rPr>
            <w:noProof/>
            <w:webHidden/>
          </w:rPr>
        </w:r>
        <w:r w:rsidRPr="00DE598F">
          <w:rPr>
            <w:noProof/>
            <w:webHidden/>
          </w:rPr>
          <w:fldChar w:fldCharType="separate"/>
        </w:r>
        <w:r w:rsidRPr="00DE598F">
          <w:rPr>
            <w:noProof/>
            <w:webHidden/>
          </w:rPr>
          <w:t>43</w:t>
        </w:r>
        <w:r w:rsidRPr="00DE598F">
          <w:rPr>
            <w:noProof/>
            <w:webHidden/>
          </w:rPr>
          <w:fldChar w:fldCharType="end"/>
        </w:r>
      </w:hyperlink>
    </w:p>
    <w:p w14:paraId="50100156" w14:textId="5D9D4066" w:rsidR="00DE598F" w:rsidRPr="00DE598F" w:rsidRDefault="00DE598F">
      <w:pPr>
        <w:pStyle w:val="af3"/>
        <w:tabs>
          <w:tab w:val="right" w:leader="dot" w:pos="8296"/>
        </w:tabs>
        <w:rPr>
          <w:rFonts w:asciiTheme="minorHAnsi" w:eastAsiaTheme="minorEastAsia" w:hAnsiTheme="minorHAnsi"/>
          <w:noProof/>
          <w:lang w:val="en-GB" w:eastAsia="en-GB"/>
        </w:rPr>
      </w:pPr>
      <w:hyperlink w:anchor="_Toc243355380" w:history="1">
        <w:r w:rsidRPr="00DE598F">
          <w:rPr>
            <w:rStyle w:val="-"/>
            <w:noProof/>
          </w:rPr>
          <w:t>Εικόνα 15: Το πλοίο Panamax (bunker) Crimson Kingdom, 84.860 DWT, μετασκευασμένο με 4 ιστία αναρρόφησης Bound4blue</w:t>
        </w:r>
        <w:r w:rsidRPr="00DE598F">
          <w:rPr>
            <w:noProof/>
            <w:webHidden/>
          </w:rPr>
          <w:tab/>
        </w:r>
        <w:r w:rsidRPr="00DE598F">
          <w:rPr>
            <w:noProof/>
            <w:webHidden/>
          </w:rPr>
          <w:fldChar w:fldCharType="begin"/>
        </w:r>
        <w:r w:rsidRPr="00DE598F">
          <w:rPr>
            <w:noProof/>
            <w:webHidden/>
          </w:rPr>
          <w:instrText xml:space="preserve"> PAGEREF _Toc243355380 \h </w:instrText>
        </w:r>
        <w:r w:rsidRPr="00DE598F">
          <w:rPr>
            <w:noProof/>
            <w:webHidden/>
          </w:rPr>
        </w:r>
        <w:r w:rsidRPr="00DE598F">
          <w:rPr>
            <w:noProof/>
            <w:webHidden/>
          </w:rPr>
          <w:fldChar w:fldCharType="separate"/>
        </w:r>
        <w:r w:rsidRPr="00DE598F">
          <w:rPr>
            <w:noProof/>
            <w:webHidden/>
          </w:rPr>
          <w:t>44</w:t>
        </w:r>
        <w:r w:rsidRPr="00DE598F">
          <w:rPr>
            <w:noProof/>
            <w:webHidden/>
          </w:rPr>
          <w:fldChar w:fldCharType="end"/>
        </w:r>
      </w:hyperlink>
    </w:p>
    <w:p w14:paraId="11101789" w14:textId="7DB9F3DD" w:rsidR="00DE598F" w:rsidRPr="00DE598F" w:rsidRDefault="00DE598F">
      <w:pPr>
        <w:pStyle w:val="af3"/>
        <w:tabs>
          <w:tab w:val="right" w:leader="dot" w:pos="8296"/>
        </w:tabs>
        <w:rPr>
          <w:rFonts w:asciiTheme="minorHAnsi" w:eastAsiaTheme="minorEastAsia" w:hAnsiTheme="minorHAnsi"/>
          <w:noProof/>
          <w:lang w:val="en-GB" w:eastAsia="en-GB"/>
        </w:rPr>
      </w:pPr>
      <w:hyperlink w:anchor="_Toc243355381" w:history="1">
        <w:r w:rsidRPr="00DE598F">
          <w:rPr>
            <w:rStyle w:val="-"/>
            <w:noProof/>
          </w:rPr>
          <w:t>Εικόνα 16: Το πλοίο Newcastlemax Berge Olympus, 210.000 DTW, μετασκευασμένο με 4 WindWings της BAR Technologies.</w:t>
        </w:r>
        <w:r w:rsidRPr="00DE598F">
          <w:rPr>
            <w:noProof/>
            <w:webHidden/>
          </w:rPr>
          <w:tab/>
        </w:r>
        <w:r w:rsidRPr="00DE598F">
          <w:rPr>
            <w:noProof/>
            <w:webHidden/>
          </w:rPr>
          <w:fldChar w:fldCharType="begin"/>
        </w:r>
        <w:r w:rsidRPr="00DE598F">
          <w:rPr>
            <w:noProof/>
            <w:webHidden/>
          </w:rPr>
          <w:instrText xml:space="preserve"> PAGEREF _Toc243355381 \h </w:instrText>
        </w:r>
        <w:r w:rsidRPr="00DE598F">
          <w:rPr>
            <w:noProof/>
            <w:webHidden/>
          </w:rPr>
        </w:r>
        <w:r w:rsidRPr="00DE598F">
          <w:rPr>
            <w:noProof/>
            <w:webHidden/>
          </w:rPr>
          <w:fldChar w:fldCharType="separate"/>
        </w:r>
        <w:r w:rsidRPr="00DE598F">
          <w:rPr>
            <w:noProof/>
            <w:webHidden/>
          </w:rPr>
          <w:t>45</w:t>
        </w:r>
        <w:r w:rsidRPr="00DE598F">
          <w:rPr>
            <w:noProof/>
            <w:webHidden/>
          </w:rPr>
          <w:fldChar w:fldCharType="end"/>
        </w:r>
      </w:hyperlink>
    </w:p>
    <w:p w14:paraId="3163ADB3" w14:textId="1F5F424C" w:rsidR="00DE598F" w:rsidRPr="00DE598F" w:rsidRDefault="00DE598F">
      <w:pPr>
        <w:pStyle w:val="af3"/>
        <w:tabs>
          <w:tab w:val="right" w:leader="dot" w:pos="8296"/>
        </w:tabs>
        <w:rPr>
          <w:rFonts w:asciiTheme="minorHAnsi" w:eastAsiaTheme="minorEastAsia" w:hAnsiTheme="minorHAnsi"/>
          <w:noProof/>
          <w:lang w:val="en-GB" w:eastAsia="en-GB"/>
        </w:rPr>
      </w:pPr>
      <w:hyperlink w:anchor="_Toc243355382" w:history="1">
        <w:r w:rsidRPr="00DE598F">
          <w:rPr>
            <w:rStyle w:val="-"/>
            <w:noProof/>
          </w:rPr>
          <w:t>Εικόνα 17: Το πλοίο Ro/Ro Ville de Bordeaux, 5.200 DWT, εξοπλισμένο με χαρταετό Seawing 250 m</w:t>
        </w:r>
        <w:r w:rsidRPr="00DE598F">
          <w:rPr>
            <w:rStyle w:val="-"/>
            <w:noProof/>
            <w:vertAlign w:val="superscript"/>
          </w:rPr>
          <w:t>2</w:t>
        </w:r>
        <w:r w:rsidRPr="00DE598F">
          <w:rPr>
            <w:rStyle w:val="-"/>
            <w:noProof/>
          </w:rPr>
          <w:t>.</w:t>
        </w:r>
        <w:r w:rsidRPr="00DE598F">
          <w:rPr>
            <w:noProof/>
            <w:webHidden/>
          </w:rPr>
          <w:tab/>
        </w:r>
        <w:r w:rsidRPr="00DE598F">
          <w:rPr>
            <w:noProof/>
            <w:webHidden/>
          </w:rPr>
          <w:fldChar w:fldCharType="begin"/>
        </w:r>
        <w:r w:rsidRPr="00DE598F">
          <w:rPr>
            <w:noProof/>
            <w:webHidden/>
          </w:rPr>
          <w:instrText xml:space="preserve"> PAGEREF _Toc243355382 \h </w:instrText>
        </w:r>
        <w:r w:rsidRPr="00DE598F">
          <w:rPr>
            <w:noProof/>
            <w:webHidden/>
          </w:rPr>
        </w:r>
        <w:r w:rsidRPr="00DE598F">
          <w:rPr>
            <w:noProof/>
            <w:webHidden/>
          </w:rPr>
          <w:fldChar w:fldCharType="separate"/>
        </w:r>
        <w:r w:rsidRPr="00DE598F">
          <w:rPr>
            <w:noProof/>
            <w:webHidden/>
          </w:rPr>
          <w:t>46</w:t>
        </w:r>
        <w:r w:rsidRPr="00DE598F">
          <w:rPr>
            <w:noProof/>
            <w:webHidden/>
          </w:rPr>
          <w:fldChar w:fldCharType="end"/>
        </w:r>
      </w:hyperlink>
    </w:p>
    <w:p w14:paraId="580B7814" w14:textId="3D3D4272" w:rsidR="00DE598F" w:rsidRPr="00DE598F" w:rsidRDefault="00DE598F">
      <w:pPr>
        <w:pStyle w:val="af3"/>
        <w:tabs>
          <w:tab w:val="right" w:leader="dot" w:pos="8296"/>
        </w:tabs>
        <w:rPr>
          <w:rFonts w:asciiTheme="minorHAnsi" w:eastAsiaTheme="minorEastAsia" w:hAnsiTheme="minorHAnsi"/>
          <w:noProof/>
          <w:lang w:val="en-GB" w:eastAsia="en-GB"/>
        </w:rPr>
      </w:pPr>
      <w:hyperlink w:anchor="_Toc243355383" w:history="1">
        <w:r w:rsidRPr="00DE598F">
          <w:rPr>
            <w:rStyle w:val="-"/>
            <w:noProof/>
          </w:rPr>
          <w:t>Εικόνα 188: Το SC Connector στο λιμάνι του Ρότερνταμ το 2024, με έναν αναδιπλωμένο ρότορα Flettner.</w:t>
        </w:r>
        <w:r w:rsidRPr="00DE598F">
          <w:rPr>
            <w:noProof/>
            <w:webHidden/>
          </w:rPr>
          <w:tab/>
        </w:r>
        <w:r w:rsidRPr="00DE598F">
          <w:rPr>
            <w:noProof/>
            <w:webHidden/>
          </w:rPr>
          <w:fldChar w:fldCharType="begin"/>
        </w:r>
        <w:r w:rsidRPr="00DE598F">
          <w:rPr>
            <w:noProof/>
            <w:webHidden/>
          </w:rPr>
          <w:instrText xml:space="preserve"> PAGEREF _Toc243355383 \h </w:instrText>
        </w:r>
        <w:r w:rsidRPr="00DE598F">
          <w:rPr>
            <w:noProof/>
            <w:webHidden/>
          </w:rPr>
        </w:r>
        <w:r w:rsidRPr="00DE598F">
          <w:rPr>
            <w:noProof/>
            <w:webHidden/>
          </w:rPr>
          <w:fldChar w:fldCharType="separate"/>
        </w:r>
        <w:r w:rsidRPr="00DE598F">
          <w:rPr>
            <w:noProof/>
            <w:webHidden/>
          </w:rPr>
          <w:t>49</w:t>
        </w:r>
        <w:r w:rsidRPr="00DE598F">
          <w:rPr>
            <w:noProof/>
            <w:webHidden/>
          </w:rPr>
          <w:fldChar w:fldCharType="end"/>
        </w:r>
      </w:hyperlink>
    </w:p>
    <w:p w14:paraId="4B0A7F1E" w14:textId="70D93016" w:rsidR="00DE598F" w:rsidRPr="00DE598F" w:rsidRDefault="00DE598F">
      <w:pPr>
        <w:pStyle w:val="af3"/>
        <w:tabs>
          <w:tab w:val="right" w:leader="dot" w:pos="8296"/>
        </w:tabs>
        <w:rPr>
          <w:rFonts w:asciiTheme="minorHAnsi" w:eastAsiaTheme="minorEastAsia" w:hAnsiTheme="minorHAnsi"/>
          <w:noProof/>
          <w:lang w:val="en-GB" w:eastAsia="en-GB"/>
        </w:rPr>
      </w:pPr>
      <w:hyperlink w:anchor="_Toc243355384" w:history="1">
        <w:r w:rsidRPr="00DE598F">
          <w:rPr>
            <w:rStyle w:val="-"/>
            <w:noProof/>
          </w:rPr>
          <w:t>Εικόνα 199:Όριο έντασης αερίων θερμοκηπίου του FuelEU Maritime σε σύγκριση με ενδεικτικό πλοίο που κινείται με ορυκτά καύσιμα, με και χωρίς τον συντελεστή επιβράβευσης αιολικής ενέργειας.</w:t>
        </w:r>
        <w:r w:rsidRPr="00DE598F">
          <w:rPr>
            <w:noProof/>
            <w:webHidden/>
          </w:rPr>
          <w:tab/>
        </w:r>
        <w:r w:rsidRPr="00DE598F">
          <w:rPr>
            <w:noProof/>
            <w:webHidden/>
          </w:rPr>
          <w:fldChar w:fldCharType="begin"/>
        </w:r>
        <w:r w:rsidRPr="00DE598F">
          <w:rPr>
            <w:noProof/>
            <w:webHidden/>
          </w:rPr>
          <w:instrText xml:space="preserve"> PAGEREF _Toc243355384 \h </w:instrText>
        </w:r>
        <w:r w:rsidRPr="00DE598F">
          <w:rPr>
            <w:noProof/>
            <w:webHidden/>
          </w:rPr>
        </w:r>
        <w:r w:rsidRPr="00DE598F">
          <w:rPr>
            <w:noProof/>
            <w:webHidden/>
          </w:rPr>
          <w:fldChar w:fldCharType="separate"/>
        </w:r>
        <w:r w:rsidRPr="00DE598F">
          <w:rPr>
            <w:noProof/>
            <w:webHidden/>
          </w:rPr>
          <w:t>78</w:t>
        </w:r>
        <w:r w:rsidRPr="00DE598F">
          <w:rPr>
            <w:noProof/>
            <w:webHidden/>
          </w:rPr>
          <w:fldChar w:fldCharType="end"/>
        </w:r>
      </w:hyperlink>
    </w:p>
    <w:p w14:paraId="6CBB724B" w14:textId="1EBD1639" w:rsidR="00DE598F" w:rsidRPr="00DE598F" w:rsidRDefault="00DE598F">
      <w:pPr>
        <w:pStyle w:val="af3"/>
        <w:tabs>
          <w:tab w:val="right" w:leader="dot" w:pos="8296"/>
        </w:tabs>
        <w:rPr>
          <w:rFonts w:asciiTheme="minorHAnsi" w:eastAsiaTheme="minorEastAsia" w:hAnsiTheme="minorHAnsi"/>
          <w:noProof/>
          <w:lang w:val="en-GB" w:eastAsia="en-GB"/>
        </w:rPr>
      </w:pPr>
      <w:hyperlink w:anchor="_Toc243355385" w:history="1">
        <w:r w:rsidRPr="00DE598F">
          <w:rPr>
            <w:rStyle w:val="-"/>
            <w:noProof/>
          </w:rPr>
          <w:t>Εικόνα 20: Τεχνολογίες WAPS που έχουν επιλεγεί για πλοία σε λειτουργία (Ιανουάριος 2025).</w:t>
        </w:r>
        <w:r w:rsidRPr="00DE598F">
          <w:rPr>
            <w:noProof/>
            <w:webHidden/>
          </w:rPr>
          <w:tab/>
        </w:r>
        <w:r w:rsidRPr="00DE598F">
          <w:rPr>
            <w:noProof/>
            <w:webHidden/>
          </w:rPr>
          <w:fldChar w:fldCharType="begin"/>
        </w:r>
        <w:r w:rsidRPr="00DE598F">
          <w:rPr>
            <w:noProof/>
            <w:webHidden/>
          </w:rPr>
          <w:instrText xml:space="preserve"> PAGEREF _Toc243355385 \h </w:instrText>
        </w:r>
        <w:r w:rsidRPr="00DE598F">
          <w:rPr>
            <w:noProof/>
            <w:webHidden/>
          </w:rPr>
        </w:r>
        <w:r w:rsidRPr="00DE598F">
          <w:rPr>
            <w:noProof/>
            <w:webHidden/>
          </w:rPr>
          <w:fldChar w:fldCharType="separate"/>
        </w:r>
        <w:r w:rsidRPr="00DE598F">
          <w:rPr>
            <w:noProof/>
            <w:webHidden/>
          </w:rPr>
          <w:t>88</w:t>
        </w:r>
        <w:r w:rsidRPr="00DE598F">
          <w:rPr>
            <w:noProof/>
            <w:webHidden/>
          </w:rPr>
          <w:fldChar w:fldCharType="end"/>
        </w:r>
      </w:hyperlink>
    </w:p>
    <w:p w14:paraId="6E1CA3A0" w14:textId="41402B64" w:rsidR="00DE598F" w:rsidRPr="00DE598F" w:rsidRDefault="00DE598F">
      <w:pPr>
        <w:pStyle w:val="af3"/>
        <w:tabs>
          <w:tab w:val="right" w:leader="dot" w:pos="8296"/>
        </w:tabs>
        <w:rPr>
          <w:rFonts w:asciiTheme="minorHAnsi" w:eastAsiaTheme="minorEastAsia" w:hAnsiTheme="minorHAnsi"/>
          <w:noProof/>
          <w:lang w:val="en-GB" w:eastAsia="en-GB"/>
        </w:rPr>
      </w:pPr>
      <w:hyperlink w:anchor="_Toc243355386" w:history="1">
        <w:r w:rsidRPr="00DE598F">
          <w:rPr>
            <w:rStyle w:val="-"/>
            <w:noProof/>
          </w:rPr>
          <w:t>Εικόνα 21: Αριθμός πλοίων με WAPS σε λειτουργία και υπό παραγγελία, 2010–2028.</w:t>
        </w:r>
        <w:r w:rsidRPr="00DE598F">
          <w:rPr>
            <w:noProof/>
            <w:webHidden/>
          </w:rPr>
          <w:tab/>
        </w:r>
        <w:r w:rsidRPr="00DE598F">
          <w:rPr>
            <w:noProof/>
            <w:webHidden/>
          </w:rPr>
          <w:fldChar w:fldCharType="begin"/>
        </w:r>
        <w:r w:rsidRPr="00DE598F">
          <w:rPr>
            <w:noProof/>
            <w:webHidden/>
          </w:rPr>
          <w:instrText xml:space="preserve"> PAGEREF _Toc243355386 \h </w:instrText>
        </w:r>
        <w:r w:rsidRPr="00DE598F">
          <w:rPr>
            <w:noProof/>
            <w:webHidden/>
          </w:rPr>
        </w:r>
        <w:r w:rsidRPr="00DE598F">
          <w:rPr>
            <w:noProof/>
            <w:webHidden/>
          </w:rPr>
          <w:fldChar w:fldCharType="separate"/>
        </w:r>
        <w:r w:rsidRPr="00DE598F">
          <w:rPr>
            <w:noProof/>
            <w:webHidden/>
          </w:rPr>
          <w:t>90</w:t>
        </w:r>
        <w:r w:rsidRPr="00DE598F">
          <w:rPr>
            <w:noProof/>
            <w:webHidden/>
          </w:rPr>
          <w:fldChar w:fldCharType="end"/>
        </w:r>
      </w:hyperlink>
    </w:p>
    <w:p w14:paraId="5BBE1F0B" w14:textId="43CD3E8C" w:rsidR="00DE598F" w:rsidRPr="00DE598F" w:rsidRDefault="00DE598F">
      <w:pPr>
        <w:pStyle w:val="af3"/>
        <w:tabs>
          <w:tab w:val="right" w:leader="dot" w:pos="8296"/>
        </w:tabs>
        <w:rPr>
          <w:rFonts w:asciiTheme="minorHAnsi" w:eastAsiaTheme="minorEastAsia" w:hAnsiTheme="minorHAnsi"/>
          <w:noProof/>
          <w:lang w:val="en-GB" w:eastAsia="en-GB"/>
        </w:rPr>
      </w:pPr>
      <w:hyperlink w:anchor="_Toc243355387" w:history="1">
        <w:r w:rsidRPr="00DE598F">
          <w:rPr>
            <w:rStyle w:val="-"/>
            <w:noProof/>
          </w:rPr>
          <w:t>Εικόνα 22: Αριθμός πλοίων που διαθέτουν ή έχουν παραγγείλει WAPS, ανά τύπο πλοίου.</w:t>
        </w:r>
        <w:r w:rsidRPr="00DE598F">
          <w:rPr>
            <w:noProof/>
            <w:webHidden/>
          </w:rPr>
          <w:tab/>
        </w:r>
        <w:r w:rsidRPr="00DE598F">
          <w:rPr>
            <w:noProof/>
            <w:webHidden/>
          </w:rPr>
          <w:fldChar w:fldCharType="begin"/>
        </w:r>
        <w:r w:rsidRPr="00DE598F">
          <w:rPr>
            <w:noProof/>
            <w:webHidden/>
          </w:rPr>
          <w:instrText xml:space="preserve"> PAGEREF _Toc243355387 \h </w:instrText>
        </w:r>
        <w:r w:rsidRPr="00DE598F">
          <w:rPr>
            <w:noProof/>
            <w:webHidden/>
          </w:rPr>
        </w:r>
        <w:r w:rsidRPr="00DE598F">
          <w:rPr>
            <w:noProof/>
            <w:webHidden/>
          </w:rPr>
          <w:fldChar w:fldCharType="separate"/>
        </w:r>
        <w:r w:rsidRPr="00DE598F">
          <w:rPr>
            <w:noProof/>
            <w:webHidden/>
          </w:rPr>
          <w:t>90</w:t>
        </w:r>
        <w:r w:rsidRPr="00DE598F">
          <w:rPr>
            <w:noProof/>
            <w:webHidden/>
          </w:rPr>
          <w:fldChar w:fldCharType="end"/>
        </w:r>
      </w:hyperlink>
    </w:p>
    <w:p w14:paraId="27B9D4D2" w14:textId="7FA78446" w:rsidR="00DE598F" w:rsidRDefault="00DE598F">
      <w:pPr>
        <w:pStyle w:val="af3"/>
        <w:tabs>
          <w:tab w:val="right" w:leader="dot" w:pos="8296"/>
        </w:tabs>
        <w:rPr>
          <w:rFonts w:asciiTheme="minorHAnsi" w:eastAsiaTheme="minorEastAsia" w:hAnsiTheme="minorHAnsi"/>
          <w:noProof/>
          <w:lang w:val="en-GB" w:eastAsia="en-GB"/>
        </w:rPr>
      </w:pPr>
      <w:hyperlink w:anchor="_Toc243355388" w:history="1">
        <w:r w:rsidRPr="00DE598F">
          <w:rPr>
            <w:rStyle w:val="-"/>
            <w:noProof/>
          </w:rPr>
          <w:t>Εικόνα 23: Ενδεικτική απλή περίοδος αποπληρωμής μιας εγκατάστασης WAPS συναρτήσει της εξοικονόμησης καυσίμου, με και χωρίς το κόστος άνθρακα του EU ETS (παραδοχές όπως στον Πίνακα 13).</w:t>
        </w:r>
        <w:r w:rsidRPr="00DE598F">
          <w:rPr>
            <w:noProof/>
            <w:webHidden/>
          </w:rPr>
          <w:tab/>
        </w:r>
        <w:r w:rsidRPr="00DE598F">
          <w:rPr>
            <w:noProof/>
            <w:webHidden/>
          </w:rPr>
          <w:fldChar w:fldCharType="begin"/>
        </w:r>
        <w:r w:rsidRPr="00DE598F">
          <w:rPr>
            <w:noProof/>
            <w:webHidden/>
          </w:rPr>
          <w:instrText xml:space="preserve"> PAGEREF _Toc243355388 \h </w:instrText>
        </w:r>
        <w:r w:rsidRPr="00DE598F">
          <w:rPr>
            <w:noProof/>
            <w:webHidden/>
          </w:rPr>
        </w:r>
        <w:r w:rsidRPr="00DE598F">
          <w:rPr>
            <w:noProof/>
            <w:webHidden/>
          </w:rPr>
          <w:fldChar w:fldCharType="separate"/>
        </w:r>
        <w:r w:rsidRPr="00DE598F">
          <w:rPr>
            <w:noProof/>
            <w:webHidden/>
          </w:rPr>
          <w:t>108</w:t>
        </w:r>
        <w:r w:rsidRPr="00DE598F">
          <w:rPr>
            <w:noProof/>
            <w:webHidden/>
          </w:rPr>
          <w:fldChar w:fldCharType="end"/>
        </w:r>
      </w:hyperlink>
    </w:p>
    <w:p w14:paraId="17F14586" w14:textId="1F263E61" w:rsidR="00933A13" w:rsidRPr="00822C2D" w:rsidRDefault="003C33E6" w:rsidP="00EF3EE0">
      <w:pPr>
        <w:jc w:val="both"/>
        <w:rPr>
          <w:rFonts w:cs="Times New Roman"/>
        </w:rPr>
      </w:pPr>
      <w:r>
        <w:rPr>
          <w:rFonts w:cs="Times New Roman"/>
        </w:rPr>
        <w:fldChar w:fldCharType="end"/>
      </w:r>
    </w:p>
    <w:p w14:paraId="1E04D5C9" w14:textId="77777777" w:rsidR="00933A13" w:rsidRPr="00822C2D" w:rsidRDefault="00933A13" w:rsidP="00EF3EE0">
      <w:pPr>
        <w:jc w:val="both"/>
        <w:rPr>
          <w:rFonts w:cs="Times New Roman"/>
        </w:rPr>
      </w:pPr>
    </w:p>
    <w:p w14:paraId="3A8A4B06" w14:textId="77777777" w:rsidR="00933A13" w:rsidRPr="00822C2D" w:rsidRDefault="00933A13" w:rsidP="00EF3EE0">
      <w:pPr>
        <w:jc w:val="both"/>
        <w:rPr>
          <w:rFonts w:cs="Times New Roman"/>
        </w:rPr>
      </w:pPr>
    </w:p>
    <w:p w14:paraId="666CF833" w14:textId="77777777" w:rsidR="00933A13" w:rsidRPr="00822C2D" w:rsidRDefault="00933A13" w:rsidP="00EF3EE0">
      <w:pPr>
        <w:jc w:val="both"/>
        <w:rPr>
          <w:rFonts w:cs="Times New Roman"/>
        </w:rPr>
      </w:pPr>
    </w:p>
    <w:p w14:paraId="7D7AA041" w14:textId="77777777" w:rsidR="00933A13" w:rsidRPr="00822C2D" w:rsidRDefault="00933A13" w:rsidP="00EF3EE0">
      <w:pPr>
        <w:jc w:val="both"/>
        <w:rPr>
          <w:rFonts w:cs="Times New Roman"/>
        </w:rPr>
      </w:pPr>
    </w:p>
    <w:p w14:paraId="6462D4BF" w14:textId="77777777" w:rsidR="00933A13" w:rsidRPr="00822C2D" w:rsidRDefault="00933A13" w:rsidP="00EF3EE0">
      <w:pPr>
        <w:jc w:val="both"/>
        <w:rPr>
          <w:rFonts w:cs="Times New Roman"/>
        </w:rPr>
      </w:pPr>
    </w:p>
    <w:p w14:paraId="3E889C65" w14:textId="77777777" w:rsidR="00933A13" w:rsidRPr="00822C2D" w:rsidRDefault="00933A13" w:rsidP="00EF3EE0">
      <w:pPr>
        <w:tabs>
          <w:tab w:val="left" w:pos="2173"/>
        </w:tabs>
        <w:jc w:val="both"/>
        <w:rPr>
          <w:rFonts w:cs="Times New Roman"/>
        </w:rPr>
      </w:pPr>
    </w:p>
    <w:p w14:paraId="19E4B5F2" w14:textId="77777777" w:rsidR="003C33E6" w:rsidRPr="00822C2D" w:rsidRDefault="003C33E6" w:rsidP="00EF3EE0">
      <w:pPr>
        <w:tabs>
          <w:tab w:val="left" w:pos="2173"/>
        </w:tabs>
        <w:jc w:val="both"/>
        <w:rPr>
          <w:rFonts w:cs="Times New Roman"/>
        </w:rPr>
      </w:pPr>
    </w:p>
    <w:p w14:paraId="7624C3ED" w14:textId="77777777" w:rsidR="003C33E6" w:rsidRPr="00822C2D" w:rsidRDefault="003C33E6" w:rsidP="00EF3EE0">
      <w:pPr>
        <w:tabs>
          <w:tab w:val="left" w:pos="2173"/>
        </w:tabs>
        <w:jc w:val="both"/>
        <w:rPr>
          <w:rFonts w:cs="Times New Roman"/>
        </w:rPr>
      </w:pPr>
    </w:p>
    <w:p w14:paraId="7B7D5215" w14:textId="77777777" w:rsidR="003C33E6" w:rsidRPr="00822C2D" w:rsidRDefault="003C33E6" w:rsidP="00EF3EE0">
      <w:pPr>
        <w:tabs>
          <w:tab w:val="left" w:pos="2173"/>
        </w:tabs>
        <w:jc w:val="both"/>
        <w:rPr>
          <w:rFonts w:cs="Times New Roman"/>
        </w:rPr>
      </w:pPr>
    </w:p>
    <w:p w14:paraId="11C2DA8E" w14:textId="77777777" w:rsidR="003C33E6" w:rsidRPr="00822C2D" w:rsidRDefault="003C33E6" w:rsidP="00EF3EE0">
      <w:pPr>
        <w:tabs>
          <w:tab w:val="left" w:pos="2173"/>
        </w:tabs>
        <w:jc w:val="both"/>
        <w:rPr>
          <w:rFonts w:cs="Times New Roman"/>
        </w:rPr>
      </w:pPr>
    </w:p>
    <w:p w14:paraId="7B4734DA" w14:textId="77777777" w:rsidR="003C33E6" w:rsidRPr="00822C2D" w:rsidRDefault="003C33E6" w:rsidP="00EF3EE0">
      <w:pPr>
        <w:tabs>
          <w:tab w:val="left" w:pos="2173"/>
        </w:tabs>
        <w:jc w:val="both"/>
        <w:rPr>
          <w:rFonts w:cs="Times New Roman"/>
        </w:rPr>
      </w:pPr>
    </w:p>
    <w:p w14:paraId="75C38308" w14:textId="77777777" w:rsidR="003C33E6" w:rsidRPr="00822C2D" w:rsidRDefault="003C33E6" w:rsidP="00EF3EE0">
      <w:pPr>
        <w:tabs>
          <w:tab w:val="left" w:pos="2173"/>
        </w:tabs>
        <w:jc w:val="both"/>
        <w:rPr>
          <w:rFonts w:cs="Times New Roman"/>
        </w:rPr>
      </w:pPr>
    </w:p>
    <w:p w14:paraId="6886C337" w14:textId="77777777" w:rsidR="003C33E6" w:rsidRPr="00822C2D" w:rsidRDefault="003C33E6" w:rsidP="00EF3EE0">
      <w:pPr>
        <w:tabs>
          <w:tab w:val="left" w:pos="2173"/>
        </w:tabs>
        <w:jc w:val="both"/>
        <w:rPr>
          <w:rFonts w:cs="Times New Roman"/>
        </w:rPr>
      </w:pPr>
    </w:p>
    <w:p w14:paraId="14FBF1D2" w14:textId="77777777" w:rsidR="003C33E6" w:rsidRPr="00822C2D" w:rsidRDefault="003C33E6" w:rsidP="00EF3EE0">
      <w:pPr>
        <w:tabs>
          <w:tab w:val="left" w:pos="2173"/>
        </w:tabs>
        <w:jc w:val="both"/>
        <w:rPr>
          <w:rFonts w:cs="Times New Roman"/>
        </w:rPr>
      </w:pPr>
    </w:p>
    <w:p w14:paraId="2078BACA" w14:textId="77777777" w:rsidR="003C33E6" w:rsidRPr="00822C2D" w:rsidRDefault="003C33E6" w:rsidP="00EF3EE0">
      <w:pPr>
        <w:tabs>
          <w:tab w:val="left" w:pos="2173"/>
        </w:tabs>
        <w:jc w:val="both"/>
        <w:rPr>
          <w:rFonts w:cs="Times New Roman"/>
        </w:rPr>
      </w:pPr>
    </w:p>
    <w:p w14:paraId="52A2A562" w14:textId="77777777" w:rsidR="003C33E6" w:rsidRPr="00822C2D" w:rsidRDefault="003C33E6" w:rsidP="00EF3EE0">
      <w:pPr>
        <w:tabs>
          <w:tab w:val="left" w:pos="2173"/>
        </w:tabs>
        <w:jc w:val="both"/>
        <w:rPr>
          <w:rFonts w:cs="Times New Roman"/>
        </w:rPr>
      </w:pPr>
    </w:p>
    <w:p w14:paraId="44AF7DD0" w14:textId="77777777" w:rsidR="003C33E6" w:rsidRPr="00822C2D" w:rsidRDefault="003C33E6" w:rsidP="00EF3EE0">
      <w:pPr>
        <w:tabs>
          <w:tab w:val="left" w:pos="2173"/>
        </w:tabs>
        <w:jc w:val="both"/>
        <w:rPr>
          <w:rFonts w:cs="Times New Roman"/>
        </w:rPr>
      </w:pPr>
    </w:p>
    <w:p w14:paraId="1B7A6CE8" w14:textId="77777777" w:rsidR="003C33E6" w:rsidRPr="00822C2D" w:rsidRDefault="003C33E6" w:rsidP="00EF3EE0">
      <w:pPr>
        <w:tabs>
          <w:tab w:val="left" w:pos="2173"/>
        </w:tabs>
        <w:jc w:val="both"/>
        <w:rPr>
          <w:rFonts w:cs="Times New Roman"/>
        </w:rPr>
      </w:pPr>
    </w:p>
    <w:p w14:paraId="42B0B9AD" w14:textId="77777777" w:rsidR="003C33E6" w:rsidRPr="00822C2D" w:rsidRDefault="003C33E6" w:rsidP="00EF3EE0">
      <w:pPr>
        <w:tabs>
          <w:tab w:val="left" w:pos="2173"/>
        </w:tabs>
        <w:jc w:val="both"/>
        <w:rPr>
          <w:rFonts w:cs="Times New Roman"/>
        </w:rPr>
      </w:pPr>
    </w:p>
    <w:p w14:paraId="10D000EF" w14:textId="77777777" w:rsidR="003C33E6" w:rsidRPr="00822C2D" w:rsidRDefault="003C33E6" w:rsidP="00EF3EE0">
      <w:pPr>
        <w:tabs>
          <w:tab w:val="left" w:pos="2173"/>
        </w:tabs>
        <w:jc w:val="both"/>
        <w:rPr>
          <w:rFonts w:cs="Times New Roman"/>
        </w:rPr>
      </w:pPr>
    </w:p>
    <w:p w14:paraId="16C0978F" w14:textId="77777777" w:rsidR="003C33E6" w:rsidRPr="00822C2D" w:rsidRDefault="003C33E6" w:rsidP="00EF3EE0">
      <w:pPr>
        <w:tabs>
          <w:tab w:val="left" w:pos="2173"/>
        </w:tabs>
        <w:jc w:val="both"/>
        <w:rPr>
          <w:rFonts w:cs="Times New Roman"/>
        </w:rPr>
      </w:pPr>
    </w:p>
    <w:p w14:paraId="75830E68" w14:textId="77777777" w:rsidR="003C33E6" w:rsidRPr="00822C2D" w:rsidRDefault="003C33E6" w:rsidP="00EF3EE0">
      <w:pPr>
        <w:tabs>
          <w:tab w:val="left" w:pos="2173"/>
        </w:tabs>
        <w:jc w:val="both"/>
        <w:rPr>
          <w:rFonts w:cs="Times New Roman"/>
        </w:rPr>
      </w:pPr>
    </w:p>
    <w:p w14:paraId="3FCC943B" w14:textId="3A0CE6B6" w:rsidR="000A3C24" w:rsidRDefault="000A3C24">
      <w:pPr>
        <w:rPr>
          <w:rFonts w:cs="Times New Roman"/>
        </w:rPr>
      </w:pPr>
      <w:r>
        <w:rPr>
          <w:rFonts w:cs="Times New Roman"/>
        </w:rPr>
        <w:br w:type="page"/>
      </w:r>
    </w:p>
    <w:p w14:paraId="265F7D5E" w14:textId="77777777" w:rsidR="00F06742" w:rsidRPr="00822C2D" w:rsidRDefault="00275125" w:rsidP="000F5AB0">
      <w:pPr>
        <w:pStyle w:val="11"/>
        <w:spacing w:line="360" w:lineRule="auto"/>
        <w:jc w:val="both"/>
      </w:pPr>
      <w:bookmarkStart w:id="2" w:name="_Toc243355265"/>
      <w:r>
        <w:lastRenderedPageBreak/>
        <w:t>Εισαγωγή</w:t>
      </w:r>
      <w:bookmarkEnd w:id="2"/>
    </w:p>
    <w:p w14:paraId="38594223" w14:textId="77777777" w:rsidR="00DA56ED" w:rsidRPr="00822C2D" w:rsidRDefault="0056628E" w:rsidP="000F5AB0">
      <w:pPr>
        <w:pStyle w:val="20"/>
        <w:spacing w:line="360" w:lineRule="auto"/>
        <w:jc w:val="both"/>
      </w:pPr>
      <w:bookmarkStart w:id="3" w:name="_Toc243355266"/>
      <w:r>
        <w:t>Γενικό πλαίσιο</w:t>
      </w:r>
      <w:bookmarkEnd w:id="3"/>
    </w:p>
    <w:p w14:paraId="534AFB07" w14:textId="77777777" w:rsidR="009405EA" w:rsidRPr="00822C2D" w:rsidRDefault="009405EA" w:rsidP="000F5AB0">
      <w:pPr>
        <w:pStyle w:val="30"/>
        <w:spacing w:line="360" w:lineRule="auto"/>
        <w:jc w:val="both"/>
      </w:pPr>
      <w:bookmarkStart w:id="4" w:name="_Toc243355267"/>
      <w:r>
        <w:t>Η σημασία των θαλάσσιων μεταφορών για το παγκόσμιο εμπόριο</w:t>
      </w:r>
      <w:bookmarkEnd w:id="4"/>
    </w:p>
    <w:p w14:paraId="7E8D0BDD" w14:textId="25C04C1C" w:rsidR="001E39F6" w:rsidRPr="00822C2D" w:rsidRDefault="00E03ADC" w:rsidP="000F5AB0">
      <w:pPr>
        <w:spacing w:line="360" w:lineRule="auto"/>
        <w:jc w:val="both"/>
      </w:pPr>
      <w:r>
        <w:rPr>
          <w:rFonts w:cs="Times New Roman"/>
        </w:rPr>
        <w:tab/>
      </w:r>
      <w:r>
        <w:t xml:space="preserve">Οι θαλάσσιες μεταφορές αποτελούν ακρογωνιαίο λίθο της παγκόσμιας οικονομίας, καθώς καθιστούν δυνατή τη διακίνηση μεγάλων ποσοτήτων πρώτων υλών, ενεργειακών πόρων και βιομηχανικών προϊόντων μεταξύ των διεθνών αγορών. Εκτιμάται ότι πάνω από το 80% του παγκόσμιου εμπορίου αγαθών, σε όρους όγκου, διακινείται δια θαλάσσης, γεγονός που αναδεικνύει τον καθοριστικό ρόλο της ναυτιλίας στις παγκόσμιες εφοδιαστικές αλυσίδες και στην οικονομική ανάπτυξη </w:t>
      </w:r>
      <w:r>
        <w:fldChar w:fldCharType="begin"/>
      </w:r>
      <w:r>
        <w:instrText xml:space="preserve"> ADDIN ZOTERO_ITEM CSL_CITATION {"citationID":"f6gXpkW0","properties":{"unsorted":false,"formattedCitation":"[1]","plainCitation":"[1]","noteIndex":0},"citationItems":[{"id":18,"uris":["http://zotero.org/users/local/Un35Kg4H/items/N3G79I9Z","http://zotero.org/users/19904160/items/N3G79I9Z"],"itemData":{"id":18,"type":"book","ISBN":"978-92-1-154528-9","language":"en","note":"OCLC: 1568195671","publisher":"UNITED NATIONS","publisher-place":"S.l.","source":"Open WorldCat","title":"REVIEW OF MARITIME TRANSPORT 2025: staying the course in turbulent waters","title-short":"REVIEW OF MARITIME TRANSPORT 2025","issued":{"date-parts":[["2026"]]}}}],"schema":"https://github.com/citation-style-language/schema/raw/master/csl-citation.json"} </w:instrText>
      </w:r>
      <w:r>
        <w:fldChar w:fldCharType="separate"/>
      </w:r>
      <w:r>
        <w:rPr>
          <w:rFonts w:cs="Times New Roman"/>
        </w:rPr>
        <w:t>[1]</w:t>
      </w:r>
      <w:r>
        <w:fldChar w:fldCharType="end"/>
      </w:r>
      <w:r>
        <w:t xml:space="preserve">. Το παγκόσμιο θαλάσσιο εμπόριο ανήλθε σε περίπου 12.3 δισεκατομμύρια τόνους το 2025, γεγονός που αντανακλά τη συνεχή ανάπτυξη των θαλάσσιων μεταφορών και τον κρίσιμο ρόλο τους στη στήριξη του διεθνούς εμπορίου </w:t>
      </w:r>
      <w:r>
        <w:fldChar w:fldCharType="begin"/>
      </w:r>
      <w:r>
        <w:instrText xml:space="preserve"> ADDIN ZOTERO_ITEM CSL_CITATION {"citationID":"BmU6hGic","properties":{"unsorted":false,"formattedCitation":"[2]","plainCitation":"[2]","noteIndex":0},"citationItems":[{"id":25,"uris":["http://zotero.org/users/19904160/items/FVULNR5A"],"itemData":{"id":25,"type":"book","collection-number":"2024","collection-title":"Review of maritime transport / United Nations Conference on Trade and Development, Geneva","ISBN":"978-92-1-003206-3","language":"en","number-of-pages":"148","publisher":"United Nations Publications","publisher-place":"New York, New York","source":"K10plus ISBN","title":"Navigating maritime chokepoints","issued":{"date-parts":[["2024"]]}}}],"schema":"https://github.com/citation-style-language/schema/raw/master/csl-citation.json"} </w:instrText>
      </w:r>
      <w:r>
        <w:fldChar w:fldCharType="separate"/>
      </w:r>
      <w:r>
        <w:rPr>
          <w:rFonts w:cs="Times New Roman"/>
        </w:rPr>
        <w:t>[2]</w:t>
      </w:r>
      <w:r>
        <w:fldChar w:fldCharType="end"/>
      </w:r>
      <w:r>
        <w:t>. Η αποδοτικότητα των θαλάσσιων μεταφορών, ιδίως ως προς το κόστος ανά το</w:t>
      </w:r>
      <w:r w:rsidR="00873210">
        <w:t xml:space="preserve"> </w:t>
      </w:r>
      <w:r>
        <w:t xml:space="preserve">μίλι, τις καθιστά τον οικονομικότερο τρόπο μεταφοράς χύδην φορτίων και εμπορευματοκιβωτίων σε μεγάλες αποστάσεις. Καθώς το παγκόσμιο εμπόριο συνεχίζει να επεκτείνεται, ο ναυτιλιακός τομέας παραμένει απαραίτητος για την ομαλή λειτουργία των διεθνών εφοδιαστικών δικτύων και τη σταθερότητα των παγκόσμιων αγορών </w:t>
      </w:r>
      <w:r>
        <w:fldChar w:fldCharType="begin"/>
      </w:r>
      <w:r>
        <w:instrText xml:space="preserve"> ADDIN ZOTERO_ITEM CSL_CITATION {"citationID":"KdoIz5RW","properties":{"unsorted":false,"formattedCitation":"[3]","plainCitation":"[3]","noteIndex":0},"citationItems":[{"id":22,"uris":["http://zotero.org/users/19904160/items/H5J7WHS6"],"itemData":{"id":22,"type":"webpage","abstract":"Maritime transport moves over 80% of goods traded worldwide. Country-level seaborne trade data is vital for shaping better transport, trade and investment policies.","language":"en","title":"Shipping data: UNCTAD releases new seaborne trade statistics | UN Trade and Development (UNCTAD)","title-short":"Shipping data","URL":"https://unctad.org/news/shipping-data-unctad-releases-new-seaborne-trade-statistics","accessed":{"date-parts":[["2026",3,11]]},"issued":{"date-parts":[["2025",4,23]]}}}],"schema":"https://github.com/citation-style-language/schema/raw/master/csl-citation.json"} </w:instrText>
      </w:r>
      <w:r>
        <w:fldChar w:fldCharType="separate"/>
      </w:r>
      <w:r>
        <w:rPr>
          <w:rFonts w:cs="Times New Roman"/>
        </w:rPr>
        <w:t>[3]</w:t>
      </w:r>
      <w:r>
        <w:fldChar w:fldCharType="end"/>
      </w:r>
      <w:r>
        <w:t>.</w:t>
      </w:r>
    </w:p>
    <w:p w14:paraId="040D12B4" w14:textId="77777777" w:rsidR="007951AA" w:rsidRPr="00822C2D" w:rsidRDefault="009405EA" w:rsidP="000F5AB0">
      <w:pPr>
        <w:pStyle w:val="30"/>
        <w:spacing w:line="360" w:lineRule="auto"/>
        <w:jc w:val="both"/>
      </w:pPr>
      <w:bookmarkStart w:id="5" w:name="_Toc243355268"/>
      <w:r>
        <w:t>Εκπομπές της ναυτιλίας</w:t>
      </w:r>
      <w:bookmarkEnd w:id="5"/>
    </w:p>
    <w:p w14:paraId="049328C9" w14:textId="1818DF65" w:rsidR="007951AA" w:rsidRPr="00822C2D" w:rsidRDefault="009405EA" w:rsidP="000F5AB0">
      <w:pPr>
        <w:spacing w:line="360" w:lineRule="auto"/>
        <w:ind w:firstLine="576"/>
        <w:jc w:val="both"/>
      </w:pPr>
      <w:r>
        <w:t xml:space="preserve">Οι θαλάσσιες μεταφορές έχουν σημαντική επίδραση στην οικονομία της Ευρωπαϊκής Ένωσης και αποτελούν έναν από τους ενεργειακά αποδοτικότερους τρόπους μεταφοράς. Παρ’ όλα αυτά, εξακολουθούν να ευθύνονται για σημαντικό μερίδιο των εκπομπών αερίων θερμοκηπίου (GHG), σύμφωνα με την έκθεση της Ευρωπαϊκής Επιτροπής του 2024 για τις εκπομπές CO₂ από τις θαλάσσιες μεταφορές </w:t>
      </w:r>
      <w:r>
        <w:fldChar w:fldCharType="begin"/>
      </w:r>
      <w:r w:rsidR="006A072A">
        <w:instrText xml:space="preserve"> ADDIN ZOTERO_ITEM CSL_CITATION {"citationID":"EcSnrrJx","properties":{"unsorted":false,"formattedCitation":"[4]","plainCitation":"[4]","noteIndex":0},"citationItems":[{"id":"3o9cI4QS/d2hCu45t","uris":["http://zotero.org/users/local/Un35Kg4H/items/896PL43R","http://zotero.org/users/19904160/items/896PL43R"],"itemData":{"id":9,"type":"report","number":"SWD(2025) 38 final","publisher":"European Commission","publisher-place":"Brussels","title":"2024 Report from the European Commission on CO₂ Emissions from Maritime Transport","URL":"https://eur-lex.europa.eu/legal-content/EN/TXT/PDF/?uri=CELEX:52025DC0039","author":[{"literal":"European Commission"}],"issued":{"date-parts":[["2025"]]}}}],"schema":"https://github.com/citation-style-language/schema/raw/master/csl-citation.json"} </w:instrText>
      </w:r>
      <w:r>
        <w:fldChar w:fldCharType="separate"/>
      </w:r>
      <w:r>
        <w:rPr>
          <w:rFonts w:cs="Times New Roman"/>
        </w:rPr>
        <w:t>[4]</w:t>
      </w:r>
      <w:r>
        <w:fldChar w:fldCharType="end"/>
      </w:r>
      <w:r>
        <w:t xml:space="preserve">. Σε παγκόσμιο επίπεδο, ο κλάδος ευθύνεται για περίπου το 3% των ανθρωπογενών εκπομπών αερίων θερμοκηπίου, σύμφωνα με μελέτες του Διεθνούς Ναυτιλιακού Οργανισμού (IMO) </w:t>
      </w:r>
      <w:r>
        <w:fldChar w:fldCharType="begin"/>
      </w:r>
      <w:r>
        <w:instrText xml:space="preserve"> ADDIN ZOTERO_ITEM CSL_CITATION {"citationID":"EV35OGpv","properties":{"unsorted":false,"formattedCitation":"[1]","plainCitation":"[1]","noteIndex":0},"citationItems":[{"id":18,"uris":["http://zotero.org/users/local/Un35Kg4H/items/N3G79I9Z","http://zotero.org/users/19904160/items/N3G79I9Z"],"itemData":{"id":18,"type":"book","ISBN":"978-92-1-154528-9","language":"en","note":"OCLC: 1568195671","publisher":"UNITED NATIONS","publisher-place":"S.l.","source":"Open WorldCat","title":"REVIEW OF MARITIME TRANSPORT 2025: staying the course in turbulent waters","title-short":"REVIEW OF MARITIME TRANSPORT 2025","issued":{"date-parts":[["2026"]]}}}],"schema":"https://github.com/citation-style-language/schema/raw/master/csl-citation.json"} </w:instrText>
      </w:r>
      <w:r>
        <w:fldChar w:fldCharType="separate"/>
      </w:r>
      <w:r>
        <w:rPr>
          <w:rFonts w:cs="Times New Roman"/>
        </w:rPr>
        <w:t>[1]</w:t>
      </w:r>
      <w:r>
        <w:fldChar w:fldCharType="end"/>
      </w:r>
      <w:r>
        <w:t xml:space="preserve">. Πέρα από αυτές τις εκπομπές, οι θαλάσσιες μεταφορές απελευθερώνουν διάφορους επιβλαβείς ρύπους για το περιβάλλον. Τα πλοία παράγουν αρκετούς αέριους ρύπους ως αποτέλεσμα της καύσης </w:t>
      </w:r>
      <w:proofErr w:type="spellStart"/>
      <w:r>
        <w:t>υδρογονανθρακικών</w:t>
      </w:r>
      <w:proofErr w:type="spellEnd"/>
      <w:r>
        <w:t xml:space="preserve"> καυσίμων στις κύριες μηχανές, στις βοηθητικές μηχανές και στους λέβητες του πλοίου. Οι ρύποι αυτοί εκλύονται μέσω των καυσαερίων και συμβάλλουν σημαντικά στην ατμοσφαιρική ρύπανση, στην υποβάθμιση του περιβάλλοντος και στην κλιματική αλλαγή. Μεταξύ </w:t>
      </w:r>
      <w:r>
        <w:lastRenderedPageBreak/>
        <w:t>των σημαντικότερων εκπομπών των πλοίων συγκαταλέγονται τα οξείδια του αζώτου (</w:t>
      </w:r>
      <w:proofErr w:type="spellStart"/>
      <w:r>
        <w:t>NOx</w:t>
      </w:r>
      <w:proofErr w:type="spellEnd"/>
      <w:r>
        <w:t>), τα οξείδια του θείου (</w:t>
      </w:r>
      <w:proofErr w:type="spellStart"/>
      <w:r>
        <w:t>SOx</w:t>
      </w:r>
      <w:proofErr w:type="spellEnd"/>
      <w:r>
        <w:t xml:space="preserve">), το διοξείδιο του άνθρακα (CO₂), το μονοξείδιο του άνθρακα (CO) και οι άκαυστοι υδρογονάνθρακες (HC) </w:t>
      </w:r>
      <w:r>
        <w:fldChar w:fldCharType="begin"/>
      </w:r>
      <w:r>
        <w:instrText xml:space="preserve"> ADDIN ZOTERO_ITEM CSL_CITATION {"citationID":"jhBmAKN8","properties":{"unsorted":false,"formattedCitation":"[5]","plainCitation":"[5]","noteIndex":0},"citationItems":[{"id":36,"uris":["http://zotero.org/users/19904160/items/3UJAVEWQ"],"itemData":{"id":36,"type":"post-weblog","abstract":"Marine Insight - The maritime industry guide.","container-title":"Marine Insight","language":"en-US","title":"Types of Ship Emissions","URL":"https://www.marineinsight.com/know-more/types-of-ship-emissions/","author":[{"family":"Ahmed","given":"Zahra"}],"accessed":{"date-parts":[["2026",3,14]]},"issued":{"date-parts":[["2025",1,5]]}}}],"schema":"https://github.com/citation-style-language/schema/raw/master/csl-citation.json"} </w:instrText>
      </w:r>
      <w:r>
        <w:fldChar w:fldCharType="separate"/>
      </w:r>
      <w:r>
        <w:rPr>
          <w:rFonts w:cs="Times New Roman"/>
        </w:rPr>
        <w:t>[5]</w:t>
      </w:r>
      <w:r>
        <w:fldChar w:fldCharType="end"/>
      </w:r>
      <w:r>
        <w:t xml:space="preserve">. Το γεγονός αυτό έχει ωθήσει τις εταιρείες και τον ναυτιλιακό κλάδο στο σύνολό του προς αποδοτικότερη χρήση καυσίμων και καθαρότερους τρόπους μεταφοράς, με στόχο τη μείωση του περιβαλλοντικού αποτυπώματος της ναυτιλίας. Γενικά, οι ενεργειακές μεταβάσεις διαρκούν αρκετές δεκαετίες και εξαρτώνται από τη συνεχή τεχνολογική πρόοδο, από συντονισμένα πλαίσια πολιτικής και από μια ισορροπημένη προσέγγιση μεταξύ της ανάπτυξης καινοτομιών και της εφαρμογής πολιτικών. Ωστόσο, η ενεργειακή μετάβαση στη διεθνή ναυτιλία προχωρά ακόμη πιο αργά λόγω της μακράς διάρκειας λειτουργικής ζωής των πλοίων, και κατά συνέπεια η μείωση των παγκόσμιων εκπομπών αναμένεται να επιτευχθεί σταδιακά </w:t>
      </w:r>
      <w:r>
        <w:fldChar w:fldCharType="begin"/>
      </w:r>
      <w:r>
        <w:instrText xml:space="preserve"> ADDIN ZOTERO_ITEM CSL_CITATION {"citationID":"pHlpsTf8","properties":{"unsorted":false,"formattedCitation":"[6]","plainCitation":"[6]","noteIndex":0},"citationItems":[{"id":20,"uris":["http://zotero.org/users/19904160/items/BAE6X7GL"],"itemData":{"id":20,"type":"article-journal","abstract":"Reducing CO2 emissions from global shipping remains a critical challenge in the pursuit of sustainable international trade. Though the technical and operational (T/O) measures and alternative fuel (AF) solutions have shown promise, the global maritime sector continues to face strategic and structural hurdles. This thematic narrative review revisits the fundamentals and explores the roles of T/O measures and Alternative fuel options in reducing CO2 emissions in international shipping, with a focus on the maritime energy transition. The study reveals that maximizing the benefits of T/O measures, alongside establishing a balanced energy transition matrix encompassing clean energy sources, can foster an environment conducive to future sustainability performance and substantial CO2 emission reductions. More specifically, combining operational efficiency improvements with scalable, future-focused, infrastructure-ready alternative fuels can yield significant emission reductions. The paper also introduces a conceptual model to guide the maritime energy transition, outlining a phased pathway that leverages innovation, policy, and system-level design. These insights contribute to shaping a resilient roadmap for decarbonizing international shipping by enhancing the sector’s sustainability performance.","container-title":"Sustainability","DOI":"10.3390/su18020763","ISSN":"2071-1050","issue":"2","language":"en","license":"http://creativecommons.org/licenses/by/3.0/","page":"763","publisher":"Multidisciplinary Digital Publishing Institute","source":"www.mdpi.com","title":"Maritime Energy Transition: Disruptive Technologies for Global Shipping Decarbonization","title-short":"Maritime Energy Transition","volume":"18","author":[{"family":"Sakalayen","given":"Quazi"},{"family":"Lam","given":"Jasmine Siu Lee"},{"family":"Talib","given":"Mohamed Syazwan Ab"},{"family":"Sumardi","given":"Wardah Hakimah Haji"},{"family":"Islam","given":"Samsul"}],"issued":{"date-parts":[["2026",1]]}}}],"schema":"https://github.com/citation-style-language/schema/raw/master/csl-citation.json"} </w:instrText>
      </w:r>
      <w:r>
        <w:fldChar w:fldCharType="separate"/>
      </w:r>
      <w:r>
        <w:rPr>
          <w:rFonts w:cs="Times New Roman"/>
        </w:rPr>
        <w:t>[6]</w:t>
      </w:r>
      <w:r>
        <w:fldChar w:fldCharType="end"/>
      </w:r>
      <w:r>
        <w:t xml:space="preserve">. Παρά την εφαρμογή κανονιστικών μέτρων για τη βελτίωση της ενεργειακής απόδοσης, παραμένει αβεβαιότητα ως προς την αποτελεσματικότητά τους στη σημαντική μείωση των εκπομπών CO₂ της διεθνούς ναυτιλίας. Ο IMO θέσπισε τον Δείκτη Ενεργειακής Απόδοσης Σχεδίασης (Energy </w:t>
      </w:r>
      <w:proofErr w:type="spellStart"/>
      <w:r>
        <w:t>Efficiency</w:t>
      </w:r>
      <w:proofErr w:type="spellEnd"/>
      <w:r>
        <w:t xml:space="preserve"> </w:t>
      </w:r>
      <w:proofErr w:type="spellStart"/>
      <w:r>
        <w:t>Design</w:t>
      </w:r>
      <w:proofErr w:type="spellEnd"/>
      <w:r>
        <w:t xml:space="preserve"> </w:t>
      </w:r>
      <w:proofErr w:type="spellStart"/>
      <w:r>
        <w:t>Index</w:t>
      </w:r>
      <w:proofErr w:type="spellEnd"/>
      <w:r>
        <w:t xml:space="preserve">, EEDI) για τη βελτίωση της ενεργειακής επίδοσης των νέων πλοίων και αργότερα, το 2023, εφάρμοσε τον Δείκτη Ενεργειακής Απόδοσης Υφιστάμενων Πλοίων (Energy </w:t>
      </w:r>
      <w:proofErr w:type="spellStart"/>
      <w:r>
        <w:t>Efficiency</w:t>
      </w:r>
      <w:proofErr w:type="spellEnd"/>
      <w:r>
        <w:t xml:space="preserve"> </w:t>
      </w:r>
      <w:proofErr w:type="spellStart"/>
      <w:r>
        <w:t>Existing</w:t>
      </w:r>
      <w:proofErr w:type="spellEnd"/>
      <w:r>
        <w:t xml:space="preserve"> </w:t>
      </w:r>
      <w:proofErr w:type="spellStart"/>
      <w:r>
        <w:t>Ship</w:t>
      </w:r>
      <w:proofErr w:type="spellEnd"/>
      <w:r>
        <w:t xml:space="preserve"> </w:t>
      </w:r>
      <w:proofErr w:type="spellStart"/>
      <w:r>
        <w:t>Index</w:t>
      </w:r>
      <w:proofErr w:type="spellEnd"/>
      <w:r>
        <w:t xml:space="preserve">, EEXI) για </w:t>
      </w:r>
      <w:r w:rsidR="00FB4CA1" w:rsidRPr="00FB4CA1">
        <w:t>πλοία άνω των 400 GT</w:t>
      </w:r>
      <w:r>
        <w:t>, επεκτείνοντας τις απαιτήσεις απόδοσης και στον υφιστάμενο στόλο.</w:t>
      </w:r>
    </w:p>
    <w:p w14:paraId="1C904CA3" w14:textId="77777777" w:rsidR="00C047A4" w:rsidRPr="00822C2D" w:rsidRDefault="00C047A4" w:rsidP="000F5AB0">
      <w:pPr>
        <w:pStyle w:val="30"/>
        <w:spacing w:line="360" w:lineRule="auto"/>
        <w:jc w:val="both"/>
      </w:pPr>
      <w:bookmarkStart w:id="6" w:name="_Toc243355269"/>
      <w:r>
        <w:t>Κατανάλωση ενέργειας στη ναυτιλία</w:t>
      </w:r>
      <w:bookmarkEnd w:id="6"/>
    </w:p>
    <w:p w14:paraId="66D8C3BB" w14:textId="7B639777" w:rsidR="00331C63" w:rsidRPr="00822C2D" w:rsidRDefault="00A5018C" w:rsidP="00CD621F">
      <w:pPr>
        <w:spacing w:line="360" w:lineRule="auto"/>
        <w:ind w:firstLine="576"/>
        <w:jc w:val="both"/>
      </w:pPr>
      <w:r>
        <w:t>Ο ναυτιλιακός τομέας χαρακτηρίζεται από σημαντική κατανάλωση ενέργειας, λόγω της μεγάλης κλίμακας και των μεγάλων αποστάσεων στις οποίες δραστηριοποιούνται τα εμπορικά πλοία. Τα ναυτιλιακά καύσιμα, όπως το βαρύ μαζούτ (</w:t>
      </w:r>
      <w:proofErr w:type="spellStart"/>
      <w:r>
        <w:t>heavy</w:t>
      </w:r>
      <w:proofErr w:type="spellEnd"/>
      <w:r>
        <w:t xml:space="preserve"> </w:t>
      </w:r>
      <w:proofErr w:type="spellStart"/>
      <w:r>
        <w:t>fuel</w:t>
      </w:r>
      <w:proofErr w:type="spellEnd"/>
      <w:r>
        <w:t xml:space="preserve"> </w:t>
      </w:r>
      <w:proofErr w:type="spellStart"/>
      <w:r>
        <w:t>oil</w:t>
      </w:r>
      <w:proofErr w:type="spellEnd"/>
      <w:r>
        <w:t>, HFO), το ναυτιλιακό πετρέλαιο (</w:t>
      </w:r>
      <w:proofErr w:type="spellStart"/>
      <w:r>
        <w:t>marine</w:t>
      </w:r>
      <w:proofErr w:type="spellEnd"/>
      <w:r>
        <w:t xml:space="preserve"> </w:t>
      </w:r>
      <w:proofErr w:type="spellStart"/>
      <w:r>
        <w:t>gas</w:t>
      </w:r>
      <w:proofErr w:type="spellEnd"/>
      <w:r>
        <w:t xml:space="preserve"> </w:t>
      </w:r>
      <w:proofErr w:type="spellStart"/>
      <w:r>
        <w:t>oil</w:t>
      </w:r>
      <w:proofErr w:type="spellEnd"/>
      <w:r>
        <w:t>, MGO) και το μαζούτ πολύ χαμηλής περιεκτικότητας σε θείο (</w:t>
      </w:r>
      <w:proofErr w:type="spellStart"/>
      <w:r>
        <w:t>very-low-sulfur</w:t>
      </w:r>
      <w:proofErr w:type="spellEnd"/>
      <w:r>
        <w:t xml:space="preserve"> </w:t>
      </w:r>
      <w:proofErr w:type="spellStart"/>
      <w:r>
        <w:t>fuel</w:t>
      </w:r>
      <w:proofErr w:type="spellEnd"/>
      <w:r>
        <w:t xml:space="preserve"> </w:t>
      </w:r>
      <w:proofErr w:type="spellStart"/>
      <w:r>
        <w:t>oil</w:t>
      </w:r>
      <w:proofErr w:type="spellEnd"/>
      <w:r>
        <w:t>, VLSFO), παραμένουν οι κύριες πηγές ενέργειας για την πρόωση των πλοίων. Η κατανάλωση καυσίμου επηρεάζεται από διάφορους λειτουργικούς και σχεδιαστικούς παράγοντες, όπως το μέγεθος του πλοίου, η ταχύτητα λειτουργίας, οι καιρικές συνθήκες, η αντίσταση της γάστρας, ο βαθμός απόδοσης του συστήματος πρόωσης και η αεροδυναμική αντίσταση</w:t>
      </w:r>
      <w:r w:rsidR="00A673C2">
        <w:t xml:space="preserve"> </w:t>
      </w:r>
      <w:r w:rsidR="00C11155">
        <w:t xml:space="preserve">του καταστρώματος του </w:t>
      </w:r>
      <w:r w:rsidR="0080398E">
        <w:t>πλοίου</w:t>
      </w:r>
      <w:r>
        <w:t xml:space="preserve">, όπως η γέφυρα, </w:t>
      </w:r>
      <w:r w:rsidR="001236A2">
        <w:t>τυχόν</w:t>
      </w:r>
      <w:r>
        <w:t xml:space="preserve"> </w:t>
      </w:r>
      <w:proofErr w:type="spellStart"/>
      <w:r>
        <w:t>υπερκατασκευ</w:t>
      </w:r>
      <w:r w:rsidR="001236A2">
        <w:t>ές</w:t>
      </w:r>
      <w:proofErr w:type="spellEnd"/>
      <w:r>
        <w:t xml:space="preserve"> και ο εξοπλισμός καταστρώματος </w:t>
      </w:r>
      <w:r>
        <w:fldChar w:fldCharType="begin"/>
      </w:r>
      <w:r w:rsidR="00C60D31">
        <w:instrText xml:space="preserve"> ADDIN ZOTERO_ITEM CSL_CITATION {"citationID":"NNPR3sLs","properties":{"unsorted":false,"formattedCitation":"[7]","plainCitation":"[7]","noteIndex":0},"citationItems":[{"id":26,"uris":["http://zotero.org/users/19904160/items/HYFKKXS7"],"itemData":{"id":26,"type":"webpage","title":"Review of Wind-Assisted Propulsion Systems in Maritime Transport","URL":"https://www.mdpi.com/1996-1073/18/4/897","accessed":{"date-parts":[["2026",3,11]]}}}],"schema":"https://github.com/citation-style-language/schema/raw/master/csl-citation.json"} </w:instrText>
      </w:r>
      <w:r>
        <w:fldChar w:fldCharType="separate"/>
      </w:r>
      <w:r>
        <w:rPr>
          <w:rFonts w:cs="Times New Roman"/>
        </w:rPr>
        <w:t>[7]</w:t>
      </w:r>
      <w:r>
        <w:fldChar w:fldCharType="end"/>
      </w:r>
      <w:r>
        <w:t>. Η αεροδυναμική αντίσταση γίνεται σημαντικότερη υπό συνθήκες αντίθετου ανέμου</w:t>
      </w:r>
      <w:r w:rsidR="00852311">
        <w:t xml:space="preserve"> (</w:t>
      </w:r>
      <w:proofErr w:type="spellStart"/>
      <w:r w:rsidR="00852311">
        <w:t>όρτσα</w:t>
      </w:r>
      <w:proofErr w:type="spellEnd"/>
      <w:r w:rsidR="00852311">
        <w:t>)</w:t>
      </w:r>
      <w:r>
        <w:t xml:space="preserve">, καθώς αυξάνεται η σχετική ταχύτητα του ανέμου που δρα στο πλοίο. Δεδομένου ότι οι δαπάνες καυσίμου αποτελούν σημαντική </w:t>
      </w:r>
      <w:r>
        <w:lastRenderedPageBreak/>
        <w:t xml:space="preserve">συνιστώσα του λειτουργικού κόστους των ναυτιλιακών εταιρειών, η βελτίωση της ενεργειακής απόδοσης έχει καταστεί κρίσιμη προτεραιότητα για οικονομικούς και περιβαλλοντικούς λόγους. Κατά συνέπεια, ο ναυτιλιακός κλάδος επενδύει όλο και περισσότερο σε τεχνολογικές καινοτομίες και επιχειρησιακές στρατηγικές που αποσκοπούν στη μείωση της κατανάλωσης καυσίμου και στη βελτίωση της συνολικής επίδοσης των πλοίων </w:t>
      </w:r>
      <w:r>
        <w:fldChar w:fldCharType="begin"/>
      </w:r>
      <w:r>
        <w:instrText xml:space="preserve"> ADDIN ZOTERO_ITEM CSL_CITATION {"citationID":"MS8Q7Lq3","properties":{"unsorted":false,"formattedCitation":"[8]","plainCitation":"[8]","noteIndex":0},"citationItems":[{"id":28,"uris":["http://zotero.org/users/19904160/items/V6A3PZAW"],"itemData":{"id":28,"type":"article-journal","abstract":"A 4 degrees of freedom ship performance prediction model is used to compare wind-assisted ship propulsion technologies: the Flettner rotor, a wingsail and the DynaRig concept. An Aframax Oil Tanker on a route between Gabon and Canada is used in a case study to compare the three technologies using actual information for the voyage. The fuel savings for were calculated and they varied between 5.6% and 8.9%; the Flettner rotor showed the largest fuel savings. A parametric study of the Flettner rotor technology was carried out to research how its dimensions and operation conditions for two ship types on two voyages influence the fuel savings. The results show that fuel savings were achieved by several percentages. It is shown that it is necessary to select and operate the Flettner rotor according to its ship type, speed, voyage routes and corresponding weather conditions to achieve as large fuel savings as possible.","container-title":"Ships and Offshore Structures","DOI":"10.1080/17445302.2019.1612544","ISSN":"1744-5302","issue":"3","note":"_eprint: https://doi.org/10.1080/17445302.2019.1612544","page":"249-258","publisher":"Taylor &amp; Francis","source":"Taylor and Francis+NEJM","title":"Ship energy performance study of three wind-assisted ship propulsion technologies including a parametric study of the Flettner rotor technology","volume":"15","author":[{"family":"Lu","given":"Ruihua"},{"family":"Ringsberg","given":"Jonas W."}],"issued":{"date-parts":[["2020",3,15]]}}}],"schema":"https://github.com/citation-style-language/schema/raw/master/csl-citation.json"} </w:instrText>
      </w:r>
      <w:r>
        <w:fldChar w:fldCharType="separate"/>
      </w:r>
      <w:r>
        <w:rPr>
          <w:rFonts w:cs="Times New Roman"/>
        </w:rPr>
        <w:t>[8]</w:t>
      </w:r>
      <w:r>
        <w:fldChar w:fldCharType="end"/>
      </w:r>
      <w:r>
        <w:t>.</w:t>
      </w:r>
    </w:p>
    <w:p w14:paraId="24D9D7D1" w14:textId="600AC81B" w:rsidR="00C047A4" w:rsidRPr="00822C2D" w:rsidRDefault="00C047A4" w:rsidP="000F5AB0">
      <w:pPr>
        <w:pStyle w:val="30"/>
        <w:spacing w:line="360" w:lineRule="auto"/>
        <w:jc w:val="both"/>
      </w:pPr>
      <w:bookmarkStart w:id="7" w:name="_Toc243355270"/>
      <w:r>
        <w:t xml:space="preserve">Διεθνείς κανονισμοί και πολιτικές </w:t>
      </w:r>
      <w:proofErr w:type="spellStart"/>
      <w:r>
        <w:t>απανθρακοποίησης</w:t>
      </w:r>
      <w:bookmarkEnd w:id="7"/>
      <w:proofErr w:type="spellEnd"/>
    </w:p>
    <w:p w14:paraId="54394291" w14:textId="56FF76A0" w:rsidR="00331C63" w:rsidRPr="00822C2D" w:rsidRDefault="00E04374" w:rsidP="000F5AB0">
      <w:pPr>
        <w:spacing w:line="360" w:lineRule="auto"/>
        <w:ind w:firstLine="576"/>
        <w:jc w:val="both"/>
      </w:pPr>
      <w:r>
        <w:t>Χωρίς πρόσθετα μέτρα μετριασμού</w:t>
      </w:r>
      <w:r w:rsidR="00FA2142">
        <w:t xml:space="preserve"> τους</w:t>
      </w:r>
      <w:r>
        <w:t xml:space="preserve">, οι εκπομπές προβλέπεται να αυξηθούν έως και κατά 50% έως το 2050, φθάνοντας περίπου στο 130% των επιπέδων του 2008, παρά την περαιτέρω βελτίωση της ενεργειακής απόδοσης </w:t>
      </w:r>
      <w:r>
        <w:fldChar w:fldCharType="begin"/>
      </w:r>
      <w:r>
        <w:instrText xml:space="preserve"> ADDIN ZOTERO_ITEM CSL_CITATION {"citationID":"SJ2LGSUf","properties":{"unsorted":false,"formattedCitation":"[1]","plainCitation":"[1]","noteIndex":0},"citationItems":[{"id":18,"uris":["http://zotero.org/users/local/Un35Kg4H/items/N3G79I9Z","http://zotero.org/users/19904160/items/N3G79I9Z"],"itemData":{"id":18,"type":"book","ISBN":"978-92-1-154528-9","language":"en","note":"OCLC: 1568195671","publisher":"UNITED NATIONS","publisher-place":"S.l.","source":"Open WorldCat","title":"REVIEW OF MARITIME TRANSPORT 2025: staying the course in turbulent waters","title-short":"REVIEW OF MARITIME TRANSPORT 2025","issued":{"date-parts":[["2026"]]}}}],"schema":"https://github.com/citation-style-language/schema/raw/master/csl-citation.json"} </w:instrText>
      </w:r>
      <w:r>
        <w:fldChar w:fldCharType="separate"/>
      </w:r>
      <w:r>
        <w:rPr>
          <w:rFonts w:cs="Times New Roman"/>
        </w:rPr>
        <w:t>[1]</w:t>
      </w:r>
      <w:r>
        <w:fldChar w:fldCharType="end"/>
      </w:r>
      <w:r>
        <w:t xml:space="preserve">. Για την αντιμετώπιση αυτής της πρόκλησης, η αναθεωρημένη Στρατηγική του IMO του 2023 για τη μείωση των εκπομπών αερίων θερμοκηπίου από τα πλοία αντανακλά μια ενισχυμένη διεθνή δέσμευση για την επίτευξη μηδενικών καθαρών εκπομπών στη διεθνή ναυτιλία γύρω στο 2050. Η στρατηγική προωθεί επίσης την υιοθέτηση εναλλακτικών καυσίμων μηδενικών και σχεδόν μηδενικών εκπομπών έως το 2030 και θέτει ενδεικτικά ενδιάμεσα ορόσημα για το 2030 και το 2040 </w:t>
      </w:r>
      <w:r>
        <w:fldChar w:fldCharType="begin"/>
      </w:r>
      <w:r>
        <w:instrText xml:space="preserve"> ADDIN ZOTERO_ITEM CSL_CITATION {"citationID":"OjgMI39r","properties":{"unsorted":false,"formattedCitation":"[9]","plainCitation":"[9]","noteIndex":0},"citationItems":[{"id":19,"uris":["http://zotero.org/users/19904160/items/SNT9XJRK"],"itemData":{"id":19,"type":"document","title":"MEPC 80-17-Add.1 - Report Of The Marine Environment Protection CommitteeOn Its Eightieth Session (Secretariat)","URL":"https://wwwcdn.imo.org/localresources/en/OurWork/Environment/Documents/annex/MEPC%2080/Annex%2015.pdf","accessed":{"date-parts":[["2026",3,10]]}}}],"schema":"https://github.com/citation-style-language/schema/raw/master/csl-citation.json"} </w:instrText>
      </w:r>
      <w:r>
        <w:fldChar w:fldCharType="separate"/>
      </w:r>
      <w:r>
        <w:rPr>
          <w:rFonts w:cs="Times New Roman"/>
        </w:rPr>
        <w:t>[9]</w:t>
      </w:r>
      <w:r>
        <w:fldChar w:fldCharType="end"/>
      </w:r>
      <w:r>
        <w:t>. Οι κανονισμοί αυτοί, σε συνδυασμό με μέτρα όπως ο Περιορισμός Ισχύος Μηχανής (</w:t>
      </w:r>
      <w:proofErr w:type="spellStart"/>
      <w:r>
        <w:t>Engine</w:t>
      </w:r>
      <w:proofErr w:type="spellEnd"/>
      <w:r>
        <w:t xml:space="preserve"> </w:t>
      </w:r>
      <w:proofErr w:type="spellStart"/>
      <w:r>
        <w:t>Power</w:t>
      </w:r>
      <w:proofErr w:type="spellEnd"/>
      <w:r>
        <w:t xml:space="preserve"> </w:t>
      </w:r>
      <w:proofErr w:type="spellStart"/>
      <w:r>
        <w:t>Limitation</w:t>
      </w:r>
      <w:proofErr w:type="spellEnd"/>
      <w:r>
        <w:t>, EPL) και η μετασκευή πλοίων με τεχνολογίες εξοικονόμησης ενέργειας,</w:t>
      </w:r>
      <w:r w:rsidR="00011028">
        <w:t xml:space="preserve"> </w:t>
      </w:r>
      <w:r>
        <w:t xml:space="preserve">αποσκοπούν στη μείωση των εκπομπών CO₂ ανά μονάδα μεταφορικού έργου έως και κατά 30% έως το 2025. Ωστόσο, οικονομικοί παράγοντες, όπως οι ασταθείς τιμές καυσίμων, οι χαμηλοί ναύλοι και το πρόσθετο κόστος συμμόρφωσης με τους περιβαλλοντικούς κανονισμούς, ενδέχεται να αποθαρρύνουν τους πλοιοκτήτες από την επένδυση σε περαιτέρω βελτιώσεις της απόδοσης </w:t>
      </w:r>
      <w:r>
        <w:fldChar w:fldCharType="begin"/>
      </w:r>
      <w:r>
        <w:instrText xml:space="preserve"> ADDIN ZOTERO_ITEM CSL_CITATION {"citationID":"lfBL0Ftf","properties":{"unsorted":false,"formattedCitation":"[6]","plainCitation":"[6]","noteIndex":0},"citationItems":[{"id":20,"uris":["http://zotero.org/users/19904160/items/BAE6X7GL"],"itemData":{"id":20,"type":"article-journal","abstract":"Reducing CO2 emissions from global shipping remains a critical challenge in the pursuit of sustainable international trade. Though the technical and operational (T/O) measures and alternative fuel (AF) solutions have shown promise, the global maritime sector continues to face strategic and structural hurdles. This thematic narrative review revisits the fundamentals and explores the roles of T/O measures and Alternative fuel options in reducing CO2 emissions in international shipping, with a focus on the maritime energy transition. The study reveals that maximizing the benefits of T/O measures, alongside establishing a balanced energy transition matrix encompassing clean energy sources, can foster an environment conducive to future sustainability performance and substantial CO2 emission reductions. More specifically, combining operational efficiency improvements with scalable, future-focused, infrastructure-ready alternative fuels can yield significant emission reductions. The paper also introduces a conceptual model to guide the maritime energy transition, outlining a phased pathway that leverages innovation, policy, and system-level design. These insights contribute to shaping a resilient roadmap for decarbonizing international shipping by enhancing the sector’s sustainability performance.","container-title":"Sustainability","DOI":"10.3390/su18020763","ISSN":"2071-1050","issue":"2","language":"en","license":"http://creativecommons.org/licenses/by/3.0/","page":"763","publisher":"Multidisciplinary Digital Publishing Institute","source":"www.mdpi.com","title":"Maritime Energy Transition: Disruptive Technologies for Global Shipping Decarbonization","title-short":"Maritime Energy Transition","volume":"18","author":[{"family":"Sakalayen","given":"Quazi"},{"family":"Lam","given":"Jasmine Siu Lee"},{"family":"Talib","given":"Mohamed Syazwan Ab"},{"family":"Sumardi","given":"Wardah Hakimah Haji"},{"family":"Islam","given":"Samsul"}],"issued":{"date-parts":[["2026",1]]}}}],"schema":"https://github.com/citation-style-language/schema/raw/master/csl-citation.json"} </w:instrText>
      </w:r>
      <w:r>
        <w:fldChar w:fldCharType="separate"/>
      </w:r>
      <w:r>
        <w:rPr>
          <w:rFonts w:cs="Times New Roman"/>
        </w:rPr>
        <w:t>[6]</w:t>
      </w:r>
      <w:r>
        <w:fldChar w:fldCharType="end"/>
      </w:r>
      <w:r>
        <w:t xml:space="preserve">. Τον Απρίλιο του 2025, κατά την 83η σύνοδο της Επιτροπής Προστασίας του Θαλάσσιου Περιβάλλοντος (MEPC 83), ο IMO ενέκρινε σχέδιο τροποποιήσεων του Παραρτήματος VI της σύμβασης MARPOL (Διεθνής Σύμβαση για την Πρόληψη της Ρύπανσης από Πλοία), εισάγοντας το Πλαίσιο Μηδενικών Καθαρών Εκπομπών του IMO (IMO </w:t>
      </w:r>
      <w:proofErr w:type="spellStart"/>
      <w:r>
        <w:t>Net-Zero</w:t>
      </w:r>
      <w:proofErr w:type="spellEnd"/>
      <w:r>
        <w:t xml:space="preserve"> </w:t>
      </w:r>
      <w:proofErr w:type="spellStart"/>
      <w:r>
        <w:t>Framework</w:t>
      </w:r>
      <w:proofErr w:type="spellEnd"/>
      <w:r>
        <w:t xml:space="preserve">). Το πλαίσιο αποσκοπεί στην καθοδήγηση της διεθνούς ναυτιλίας προς μηδενικές καθαρές εκπομπές αερίων θερμοκηπίου γύρω στο 2050. Οι προτεινόμενοι κανονισμοί συνδυάζουν υποχρεωτικά όρια εκπομπών με έναν παγκόσμιο μηχανισμό τιμολόγησης των εκπομπών αερίων θερμοκηπίου, γεγονός που τους καθιστά το πρώτο κανονιστικό σύστημα του είδους του που εφαρμόζεται σε ολόκληρο έναν κλάδο της βιομηχανίας. Εισάγουν ένα παγκόσμιο πρότυπο για τα ναυτιλιακά καύσιμα, το οποίο απαιτεί από τα </w:t>
      </w:r>
      <w:r>
        <w:lastRenderedPageBreak/>
        <w:t xml:space="preserve">πλοία να μειώνουν σταδιακά την ένταση αερίων θερμοκηπίου των καυσίμων τους, ενώ τα πλοία που υπερβαίνουν τα καθορισμένα όρια θα πρέπει να αντισταθμίζουν τις εκπομπές τους μέσω οικονομικών </w:t>
      </w:r>
      <w:r w:rsidR="00234750">
        <w:t>μέτρων</w:t>
      </w:r>
      <w:r>
        <w:t xml:space="preserve"> </w:t>
      </w:r>
      <w:r>
        <w:fldChar w:fldCharType="begin"/>
      </w:r>
      <w:r>
        <w:instrText xml:space="preserve"> ADDIN ZOTERO_ITEM CSL_CITATION {"citationID":"Hcx5DV6C","properties":{"unsorted":false,"formattedCitation":"[10]","plainCitation":"[10]","noteIndex":0},"citationItems":[{"id":47,"uris":["http://zotero.org/users/19904160/items/A6STIY94"],"itemData":{"id":47,"type":"webpage","language":"EN","title":"Marine Environment Protection Committee (MEPC 83), 7 to 11 April 2025","URL":"https://www.imo.org/en/mediacentre/meetingsummaries/pages/mepc-83rd-session.aspx","accessed":{"date-parts":[["2026",3,14]]}}}],"schema":"https://github.com/citation-style-language/schema/raw/master/csl-citation.json"} </w:instrText>
      </w:r>
      <w:r>
        <w:fldChar w:fldCharType="separate"/>
      </w:r>
      <w:r>
        <w:rPr>
          <w:rFonts w:cs="Times New Roman"/>
        </w:rPr>
        <w:t>[10]</w:t>
      </w:r>
      <w:r>
        <w:fldChar w:fldCharType="end"/>
      </w:r>
      <w:r>
        <w:t>. Οι κανονισμοί αναμένεται να εφαρμόζονται σε πλοία άνω των 5</w:t>
      </w:r>
      <w:r w:rsidR="00234750">
        <w:t>.</w:t>
      </w:r>
      <w:r>
        <w:t>000 GT, τα οποία αντιστοιχούν περίπου στο 85% των εκπομπών CO₂ της διεθνούς ναυτιλίας, και προβλέπεται να τεθούν σε ισχύ το 2027.</w:t>
      </w:r>
    </w:p>
    <w:p w14:paraId="33BBA61E" w14:textId="77777777" w:rsidR="00C047A4" w:rsidRPr="00822C2D" w:rsidRDefault="00404763" w:rsidP="000F5AB0">
      <w:pPr>
        <w:pStyle w:val="30"/>
        <w:spacing w:line="360" w:lineRule="auto"/>
        <w:jc w:val="both"/>
      </w:pPr>
      <w:bookmarkStart w:id="8" w:name="_Toc243355271"/>
      <w:r>
        <w:t>Μέτρα ενεργειακής απόδοσης στη ναυτιλία</w:t>
      </w:r>
      <w:bookmarkEnd w:id="8"/>
    </w:p>
    <w:p w14:paraId="40E0A6E3" w14:textId="1EAB17F0" w:rsidR="00703D22" w:rsidRPr="00822C2D" w:rsidRDefault="009555CA" w:rsidP="000F5AB0">
      <w:pPr>
        <w:spacing w:line="360" w:lineRule="auto"/>
        <w:ind w:firstLine="576"/>
        <w:jc w:val="both"/>
      </w:pPr>
      <w:r>
        <w:t>Τα τελευταία χρόνια, ο IMO και άλλες ναυτιλιακές αρχές έχουν θεσπίσει διάφορους κανονισμούς ελέγχου των εκπομπών, εντείνοντας περαιτέρω τις προκλήσεις βιωσιμότητας που αντιμετωπίζει ο ναυτιλιακός κλάδος. Κατά συνέπεια, η μείωση της κατανάλωσης καυσίμου μπορεί να περιορίσει σημαντικά το λειτουργικό κόστος, βελτιώνοντας ταυτόχρονα την ενεργειακή απόδοση των πλοίων και μειώνοντας τις εκπομπές τ</w:t>
      </w:r>
      <w:r w:rsidR="001E5A11">
        <w:t>ου διοξειδίου του άνθρακα</w:t>
      </w:r>
      <w:r>
        <w:t xml:space="preserve"> </w:t>
      </w:r>
      <w:r>
        <w:fldChar w:fldCharType="begin"/>
      </w:r>
      <w:r>
        <w:instrText xml:space="preserve"> ADDIN ZOTERO_ITEM CSL_CITATION {"citationID":"cBVG7r1z","properties":{"unsorted":false,"formattedCitation":"[11]","plainCitation":"[11]","noteIndex":0},"citationItems":[{"id":50,"uris":["http://zotero.org/users/19904160/items/JUQ6LQJ7"],"itemData":{"id":50,"type":"article-journal","abstract":"This study presents an overview of emission control based energy efﬁciency measures in the ship operation phase with respect to possible energy conservation situations. The ﬁrst part of the study discusses energy efﬁciency measures under the respective emission control regulations in the shipping industry. That illustrates the emission control concepts of Emission Control Areas (ECAs), CO2 reductions, SOx limits, and NOx Technical Codes and the energy efﬁciency concepts of Energy Efﬁciency Design Index (EEDI), Energy Efﬁciency Operational Indicator (EEOI), and Ship Energy Efﬁciency Management Plan (SEEMP). The second part consists of identifying the possible situations of energy conservation at the ship operation phase with respect to the proposed energy ﬂow path. Initial data analyses of performance and navigation parameters are for a selected vessel presented to support the above situations along the energy ﬂow path. High power consumption regions identiﬁed and potential energy conservation situations with respect to the EEOI presented are an important part of the SEEMP. Finally, under these results the possibilities of using appropriate navigation strategies (i.e. voyage planning, and draft and trim optimization) especially in the designated ECAs to reduce exhaust emissions (i.e. CO2, SOx and NOx) are also discussed.","container-title":"Applied Ocean Research","DOI":"10.1016/j.apor.2016.08.006","ISSN":"01411187","journalAbbreviation":"Applied Ocean Research","language":"en","page":"29-46","source":"DOI.org (Crossref)","title":"Emission control based energy efficiency measures in ship operations","volume":"60","author":[{"family":"Perera","given":"Lokukaluge P."},{"family":"Mo","given":"Brage"}],"issued":{"date-parts":[["2016",10]]}}}],"schema":"https://github.com/citation-style-language/schema/raw/master/csl-citation.json"} </w:instrText>
      </w:r>
      <w:r>
        <w:fldChar w:fldCharType="separate"/>
      </w:r>
      <w:r>
        <w:rPr>
          <w:rFonts w:cs="Times New Roman"/>
        </w:rPr>
        <w:t>[11]</w:t>
      </w:r>
      <w:r>
        <w:fldChar w:fldCharType="end"/>
      </w:r>
      <w:r>
        <w:t>. Η ενεργειακή απόδοση στη ναυτιλία μπορεί να βελτιωθεί μέσω επιχειρησιακών, τεχνικών και εναλλακτικών τεχνολογικών μέτρων. Τα επιχειρησιακά μέτρα, όπως η πλεύση με μειωμένη ταχύτητα (</w:t>
      </w:r>
      <w:proofErr w:type="spellStart"/>
      <w:r>
        <w:t>slow</w:t>
      </w:r>
      <w:proofErr w:type="spellEnd"/>
      <w:r>
        <w:t xml:space="preserve"> </w:t>
      </w:r>
      <w:proofErr w:type="spellStart"/>
      <w:r>
        <w:t>steaming</w:t>
      </w:r>
      <w:proofErr w:type="spellEnd"/>
      <w:r>
        <w:t>) και ο βελτιστοποιημένος σχεδιασμός του ταξιδιού</w:t>
      </w:r>
      <w:r w:rsidR="000423CF">
        <w:t xml:space="preserve"> (</w:t>
      </w:r>
      <w:r w:rsidR="000423CF">
        <w:rPr>
          <w:lang w:val="en-US"/>
        </w:rPr>
        <w:t>routing</w:t>
      </w:r>
      <w:r w:rsidR="000423CF" w:rsidRPr="000423CF">
        <w:t>)</w:t>
      </w:r>
      <w:r>
        <w:t>, μειώνουν την κατανάλωση καυσίμου μέσω της βελτιωμένης λειτουργίας του πλοίου. Τα τεχνικά μέτρα περιλαμβάνουν τροποποιήσεις στη σχεδίαση του πλοίου και στα συστήματά του, όπως διατάξεις εξοικονόμησης ενέργειας και βελτιστοποίηση της γάστρας. Επιπλέον, εναλλακτικές τεχνολογίες πρόωσης, όπως τα συστήματα αιολικής υποβοήθησης της πρόωσης και τα καύσιμα χαμηλών εκπομπών άνθρακα, διερευνώνται όλο και περισσότερο για την περαιτέρω μείωση της κατανάλωσης καυσίμου</w:t>
      </w:r>
      <w:r w:rsidR="009945EF">
        <w:t xml:space="preserve"> των πλοίων</w:t>
      </w:r>
      <w:r>
        <w:t xml:space="preserve"> και των εκπομπών αερίων θερμοκηπίου </w:t>
      </w:r>
      <w:r>
        <w:fldChar w:fldCharType="begin"/>
      </w:r>
      <w:r>
        <w:instrText xml:space="preserve"> ADDIN ZOTERO_ITEM CSL_CITATION {"citationID":"h0N2CgHD","properties":{"unsorted":false,"formattedCitation":"[12]","plainCitation":"[12]","noteIndex":0},"citationItems":[{"id":52,"uris":["http://zotero.org/users/19904160/items/AVRCM5L6"],"itemData":{"id":52,"type":"article-journal","abstract":"CO2 emissions from maritime transport represent around 3% of total annual anthropogenic greenhouse gas (GHG) emissions. These emissions are assumed to increase by 150–250% in 2050 in business-as-usual scenarios with a tripling of world trade, while achieving a 1.5–2 °C climate target requires net zero GHG emissions across all economic sectors. Consequentially, the maritime sector is facing the challenge to signiﬁcantly reduce its GHG emissions as contribution to the international ambition to limit the effects of climate change.","container-title":"Transportation Research Part D: Transport and Environment","DOI":"10.1016/j.trd.2017.03.022","ISSN":"13619209","journalAbbreviation":"Transportation Research Part D: Transport and Environment","language":"en","page":"408-421","source":"DOI.org (Crossref)","title":"State-of-the-art technologies, measures, and potential for reducing GHG emissions from shipping – A review","volume":"52","author":[{"family":"Bouman","given":"Evert A."},{"family":"Lindstad","given":"Elizabeth"},{"family":"Rialland","given":"Agathe I."},{"family":"Strømman","given":"Anders H."}],"issued":{"date-parts":[["2017",5]]}}}],"schema":"https://github.com/citation-style-language/schema/raw/master/csl-citation.json"} </w:instrText>
      </w:r>
      <w:r>
        <w:fldChar w:fldCharType="separate"/>
      </w:r>
      <w:r>
        <w:rPr>
          <w:rFonts w:cs="Times New Roman"/>
        </w:rPr>
        <w:t>[12]</w:t>
      </w:r>
      <w:r>
        <w:fldChar w:fldCharType="end"/>
      </w:r>
      <w:r>
        <w:t>. Προκειμένου να μειωθεί η ένταση άνθρακα της διεθνούς ναυτιλίας κατά τουλάχιστον 40% έως το 2030 σε σύγκριση με τα επίπεδα του 2008, ο Διεθνής Ναυτιλιακός Οργανισμός έχει θεσπίσει διάφορα μέτρα ενεργειακής απόδοσης για τα πλοία. Σε αυτά περιλαμβάνονται ο EEDI, ο οποίος καθορίζει ελάχιστα πρότυπα ενεργειακής απόδοσης για τα νέα πλοία, και ο EEXI, ο οποίος αξιολογεί την ενεργειακή απόδοση των πλοίων που βρίσκονται ήδη σε λειτουργία. Επιπλέον, τα πλοία υποχρεούνται να παρακολουθούν την επιχειρησιακή τους επίδοση ως προς τον άνθρακα μέσω δεικτών όπως ο Δείκτης Έντασης Άνθρακα (</w:t>
      </w:r>
      <w:proofErr w:type="spellStart"/>
      <w:r>
        <w:t>Carbon</w:t>
      </w:r>
      <w:proofErr w:type="spellEnd"/>
      <w:r>
        <w:t xml:space="preserve"> </w:t>
      </w:r>
      <w:proofErr w:type="spellStart"/>
      <w:r>
        <w:t>Intensity</w:t>
      </w:r>
      <w:proofErr w:type="spellEnd"/>
      <w:r>
        <w:t xml:space="preserve"> </w:t>
      </w:r>
      <w:proofErr w:type="spellStart"/>
      <w:r>
        <w:t>Indicator</w:t>
      </w:r>
      <w:proofErr w:type="spellEnd"/>
      <w:r>
        <w:t xml:space="preserve">, CII), ο οποίος αξιολογεί την ετήσια ένταση άνθρακα συσχετίζοντας τις εκπομπές αερίων θερμοκηπίου με την ποσότητα φορτίου που μεταφέρεται σε δεδομένη απόσταση. Ένας ακόμη σημαντικός δείκτης είναι ο Επιχειρησιακός Δείκτης Ενεργειακής Απόδοσης (Energy </w:t>
      </w:r>
      <w:proofErr w:type="spellStart"/>
      <w:r>
        <w:t>Efficiency</w:t>
      </w:r>
      <w:proofErr w:type="spellEnd"/>
      <w:r>
        <w:t xml:space="preserve"> </w:t>
      </w:r>
      <w:proofErr w:type="spellStart"/>
      <w:r>
        <w:t>Operational</w:t>
      </w:r>
      <w:proofErr w:type="spellEnd"/>
      <w:r>
        <w:t xml:space="preserve"> </w:t>
      </w:r>
      <w:proofErr w:type="spellStart"/>
      <w:r>
        <w:lastRenderedPageBreak/>
        <w:t>Indicator</w:t>
      </w:r>
      <w:proofErr w:type="spellEnd"/>
      <w:r>
        <w:t xml:space="preserve">, EEOI), ο οποίος επιτρέπει στους διαχειριστές να παρακολουθούν την αποδοτικότητα καυσίμου ενός πλοίου κατά την πραγματική λειτουργία του. Συνολικά, τα μέτρα αυτά ενθαρρύνουν την εφαρμογή βελτιώσεων της ενεργειακής απόδοσης και υποστηρίζουν την </w:t>
      </w:r>
      <w:proofErr w:type="spellStart"/>
      <w:r>
        <w:t>απανθρακοποίηση</w:t>
      </w:r>
      <w:proofErr w:type="spellEnd"/>
      <w:r>
        <w:t xml:space="preserve"> του ναυτιλιακού τομέα </w:t>
      </w:r>
      <w:r>
        <w:fldChar w:fldCharType="begin"/>
      </w:r>
      <w:r>
        <w:instrText xml:space="preserve"> ADDIN ZOTERO_ITEM CSL_CITATION {"citationID":"smn8Gzag","properties":{"unsorted":false,"formattedCitation":"[12]","plainCitation":"[12]","noteIndex":0},"citationItems":[{"id":52,"uris":["http://zotero.org/users/19904160/items/AVRCM5L6"],"itemData":{"id":52,"type":"article-journal","abstract":"CO2 emissions from maritime transport represent around 3% of total annual anthropogenic greenhouse gas (GHG) emissions. These emissions are assumed to increase by 150–250% in 2050 in business-as-usual scenarios with a tripling of world trade, while achieving a 1.5–2 °C climate target requires net zero GHG emissions across all economic sectors. Consequentially, the maritime sector is facing the challenge to signiﬁcantly reduce its GHG emissions as contribution to the international ambition to limit the effects of climate change.","container-title":"Transportation Research Part D: Transport and Environment","DOI":"10.1016/j.trd.2017.03.022","ISSN":"13619209","journalAbbreviation":"Transportation Research Part D: Transport and Environment","language":"en","page":"408-421","source":"DOI.org (Crossref)","title":"State-of-the-art technologies, measures, and potential for reducing GHG emissions from shipping – A review","volume":"52","author":[{"family":"Bouman","given":"Evert A."},{"family":"Lindstad","given":"Elizabeth"},{"family":"Rialland","given":"Agathe I."},{"family":"Strømman","given":"Anders H."}],"issued":{"date-parts":[["2017",5]]}}}],"schema":"https://github.com/citation-style-language/schema/raw/master/csl-citation.json"} </w:instrText>
      </w:r>
      <w:r>
        <w:fldChar w:fldCharType="separate"/>
      </w:r>
      <w:r>
        <w:rPr>
          <w:rFonts w:cs="Times New Roman"/>
        </w:rPr>
        <w:t>[12]</w:t>
      </w:r>
      <w:r>
        <w:fldChar w:fldCharType="end"/>
      </w:r>
      <w:r>
        <w:t xml:space="preserve">, </w:t>
      </w:r>
      <w:r>
        <w:fldChar w:fldCharType="begin"/>
      </w:r>
      <w:r>
        <w:instrText xml:space="preserve"> ADDIN ZOTERO_ITEM CSL_CITATION {"citationID":"qujRhqd1","properties":{"unsorted":false,"formattedCitation":"[13]","plainCitation":"[13]","noteIndex":0},"citationItems":[{"id":43,"uris":["http://zotero.org/users/19904160/items/WXFKMT2C"],"itemData":{"id":43,"type":"webpage","abstract":"Frequently asked questions on the Energy Efficiency Existing Ship Index (EEXI) and the annual operational carbon intensity indicator (CII) and CII rating.","language":"EN","title":"EEXI and CII - ship carbon intensity and rating system","URL":"https://www.imo.org/en/mediacentre/hottopics/pages/eexi-cii-faq.aspx","accessed":{"date-parts":[["2026",3,14]]}}}],"schema":"https://github.com/citation-style-language/schema/raw/master/csl-citation.json"} </w:instrText>
      </w:r>
      <w:r>
        <w:fldChar w:fldCharType="separate"/>
      </w:r>
      <w:r>
        <w:rPr>
          <w:rFonts w:cs="Times New Roman"/>
        </w:rPr>
        <w:t>[13]</w:t>
      </w:r>
      <w:r>
        <w:fldChar w:fldCharType="end"/>
      </w:r>
      <w:r>
        <w:t>. Επιπρόσθετα, το Σχέδιο Διαχείρισης Ενεργειακής Απόδοσης Πλοίου (</w:t>
      </w:r>
      <w:proofErr w:type="spellStart"/>
      <w:r>
        <w:t>Ship</w:t>
      </w:r>
      <w:proofErr w:type="spellEnd"/>
      <w:r>
        <w:t xml:space="preserve"> Energy </w:t>
      </w:r>
      <w:proofErr w:type="spellStart"/>
      <w:r>
        <w:t>Efficiency</w:t>
      </w:r>
      <w:proofErr w:type="spellEnd"/>
      <w:r>
        <w:t xml:space="preserve"> </w:t>
      </w:r>
      <w:proofErr w:type="spellStart"/>
      <w:r>
        <w:t>Management</w:t>
      </w:r>
      <w:proofErr w:type="spellEnd"/>
      <w:r>
        <w:t xml:space="preserve"> </w:t>
      </w:r>
      <w:proofErr w:type="spellStart"/>
      <w:r>
        <w:t>Plan</w:t>
      </w:r>
      <w:proofErr w:type="spellEnd"/>
      <w:r>
        <w:t xml:space="preserve">, SEEMP) παρέχει ένα δομημένο πλαίσιο, μέσω του οποίου οι διαχειριστές των πλοίων εφαρμόζουν και βελτιώνουν συνεχώς μέτρα ενεργειακής απόδοσης κατά τη λειτουργία του πλοίου </w:t>
      </w:r>
      <w:r>
        <w:fldChar w:fldCharType="begin"/>
      </w:r>
      <w:r>
        <w:instrText xml:space="preserve"> ADDIN ZOTERO_ITEM CSL_CITATION {"citationID":"qHZ8Q9Sx","properties":{"unsorted":false,"formattedCitation":"[14]","plainCitation":"[14]","noteIndex":0},"citationItems":[{"id":53,"uris":["http://zotero.org/users/19904160/items/KRK4IXKH"],"itemData":{"id":53,"type":"document","title":"MEPC.346(78).pdf","URL":"https://wwwcdn.imo.org/localresources/en/OurWork/Environment/Documents/Air%20pollution/MEPC.346%2878%29.pdf","accessed":{"date-parts":[["2026",3,16]]}}}],"schema":"https://github.com/citation-style-language/schema/raw/master/csl-citation.json"} </w:instrText>
      </w:r>
      <w:r>
        <w:fldChar w:fldCharType="separate"/>
      </w:r>
      <w:r>
        <w:rPr>
          <w:rFonts w:cs="Times New Roman"/>
        </w:rPr>
        <w:t>[14]</w:t>
      </w:r>
      <w:r>
        <w:fldChar w:fldCharType="end"/>
      </w:r>
      <w:r>
        <w:t>. Το SEEMP αποτελείται από τρία μέρη. Το Μέρος I του SEEMP εφαρμόζεται σε πλοία ολικής χωρητικότητας 400 GT και άνω και παρέχει πλαίσιο για τη βελτίωση της ενεργειακής απόδοσης μέσω επιχειρησιακών μέτρων. Το Μέρος II του SEEMP εφαρμόζεται σε πλοία 5</w:t>
      </w:r>
      <w:r w:rsidR="00F07D66">
        <w:t>.</w:t>
      </w:r>
      <w:r>
        <w:t>000 GT και άνω και εστιάζει στην παρακολούθηση και την αναφορά της κατανάλωσης καυσίμου στο πλαίσιο του Συστήματος Συλλογής Δεδομένων (</w:t>
      </w:r>
      <w:proofErr w:type="spellStart"/>
      <w:r>
        <w:t>Data</w:t>
      </w:r>
      <w:proofErr w:type="spellEnd"/>
      <w:r>
        <w:t xml:space="preserve"> </w:t>
      </w:r>
      <w:proofErr w:type="spellStart"/>
      <w:r>
        <w:t>Collection</w:t>
      </w:r>
      <w:proofErr w:type="spellEnd"/>
      <w:r>
        <w:t xml:space="preserve"> </w:t>
      </w:r>
      <w:proofErr w:type="spellStart"/>
      <w:r>
        <w:t>System</w:t>
      </w:r>
      <w:proofErr w:type="spellEnd"/>
      <w:r>
        <w:t>, DCS) του IMO. Το Μέρος III του SEEMP εφαρμόζεται επίσης σε πλοία 5</w:t>
      </w:r>
      <w:r w:rsidR="00DF0EBA">
        <w:t>.</w:t>
      </w:r>
      <w:r>
        <w:t xml:space="preserve">000 GT και άνω και καθορίζει διαδικασίες για την επίτευξη των απαιτούμενων στόχων του Δείκτη Έντασης Άνθρακα (CII) και για τη βελτίωση της επιχειρησιακής έντασης άνθρακα του πλοίου με την πάροδο του χρόνου </w:t>
      </w:r>
      <w:r>
        <w:fldChar w:fldCharType="begin"/>
      </w:r>
      <w:r>
        <w:instrText xml:space="preserve"> ADDIN ZOTERO_ITEM CSL_CITATION {"citationID":"dRYONl8n","properties":{"unsorted":false,"formattedCitation":"[15]","plainCitation":"[15]","noteIndex":0},"citationItems":[{"id":54,"uris":["http://zotero.org/users/19904160/items/ZYGUSXCS"],"itemData":{"id":54,"type":"webpage","abstract":"Implement Ship Energy Efficiency Management Plan (SEEMP) Part III with Lloyd's Register. Enhance your vessel's energy efficiency and reduce emissions by leveraging our expertise and comprehensive services.","language":"en","title":"SEEMP Part III | Lloyd's Register | LR","URL":"https://www.lr.org/en/services/statutory-compliance/marpol-international-convention-for-the-prevention-of-pollution/seemp-part-iii-ship-energy-efficiency/","accessed":{"date-parts":[["2026",3,16]]}}}],"schema":"https://github.com/citation-style-language/schema/raw/master/csl-citation.json"} </w:instrText>
      </w:r>
      <w:r>
        <w:fldChar w:fldCharType="separate"/>
      </w:r>
      <w:r>
        <w:rPr>
          <w:rFonts w:cs="Times New Roman"/>
        </w:rPr>
        <w:t>[15]</w:t>
      </w:r>
      <w:r>
        <w:fldChar w:fldCharType="end"/>
      </w:r>
      <w:r>
        <w:t>.</w:t>
      </w:r>
    </w:p>
    <w:p w14:paraId="056F3214" w14:textId="415D34C8" w:rsidR="006D1D1C" w:rsidRPr="00822C2D" w:rsidRDefault="00C35EC6" w:rsidP="000F5AB0">
      <w:pPr>
        <w:pStyle w:val="30"/>
        <w:spacing w:line="360" w:lineRule="auto"/>
      </w:pPr>
      <w:bookmarkStart w:id="9" w:name="_Toc243355272"/>
      <w:r>
        <w:t xml:space="preserve">Οδοί </w:t>
      </w:r>
      <w:proofErr w:type="spellStart"/>
      <w:r>
        <w:t>απανθρακοποίησης</w:t>
      </w:r>
      <w:proofErr w:type="spellEnd"/>
      <w:r>
        <w:t>: εναλλακτικά καύσιμα και τεχνολογίες πρόωσης στη ναυτιλία</w:t>
      </w:r>
      <w:bookmarkEnd w:id="9"/>
    </w:p>
    <w:p w14:paraId="15E0D40D" w14:textId="77777777" w:rsidR="006D1D1C" w:rsidRPr="00822C2D" w:rsidRDefault="006D1D1C" w:rsidP="000F5AB0">
      <w:pPr>
        <w:pStyle w:val="4"/>
        <w:spacing w:line="360" w:lineRule="auto"/>
      </w:pPr>
      <w:bookmarkStart w:id="10" w:name="_Toc243355273"/>
      <w:r>
        <w:t>Αμμωνία (NH</w:t>
      </w:r>
      <w:r>
        <w:rPr>
          <w:vertAlign w:val="subscript"/>
        </w:rPr>
        <w:t>3</w:t>
      </w:r>
      <w:r>
        <w:t>)</w:t>
      </w:r>
      <w:bookmarkEnd w:id="10"/>
    </w:p>
    <w:p w14:paraId="6D33C5B2" w14:textId="14BB3E19" w:rsidR="00F923F5" w:rsidRPr="00822C2D" w:rsidRDefault="006D1D1C" w:rsidP="000F5AB0">
      <w:pPr>
        <w:spacing w:line="360" w:lineRule="auto"/>
        <w:ind w:firstLine="576"/>
        <w:jc w:val="both"/>
      </w:pPr>
      <w:r>
        <w:t xml:space="preserve">Η αμμωνία θεωρείται υποσχόμενο εναλλακτικό καύσιμο λόγω των χαμηλών εκπομπών αερίων θερμοκηπίου (GHG), της σχετικά υψηλής ενεργειακής πυκνότητας, του ανταγωνιστικού κόστους και της υφιστάμενης υποδομής για την παραγωγή, την αποθήκευση και τη διανομή της. Δεν εκπέμπει CO₂ κατά την καύση της και θεωρείται ισχυρός υποψήφιος για τα μεγάλα πλοία. Ωστόσο, η τοξικότητά της απαιτεί νέες υποδομές </w:t>
      </w:r>
      <w:r w:rsidR="00336645">
        <w:t xml:space="preserve">φιλτραρίσματος </w:t>
      </w:r>
      <w:r>
        <w:t xml:space="preserve">και αυστηρά μέτρα ασφαλείας. Οι μηχανές που λειτουργούν με αμμωνία έχουν προταθεί ως το πιθανότερο αρχικό σημείο εισόδου της αμμωνίας ως ναυτιλιακού καυσίμου, μια μετάβαση που έχει ήδη ξεκινήσει μέσα στη δεκαετία του 2020, σύμφωνα με το χρονοδιάγραμμα </w:t>
      </w:r>
      <w:proofErr w:type="spellStart"/>
      <w:r>
        <w:t>απανθρακοποίησης</w:t>
      </w:r>
      <w:proofErr w:type="spellEnd"/>
      <w:r>
        <w:t xml:space="preserve">. Όταν χρησιμοποιείται απευθείας ως καύσιμο, δεν αποτελεί την αποδοτικότερη επιλογή· όταν όμως αξιοποιείται σε συστήματα κυψελών καυσίμου, μπορεί να προσφέρει βελτιωμένη απόδοση και να επιτρέψει περιβαλλοντικά φιλικότερη λειτουργία </w:t>
      </w:r>
      <w:r>
        <w:fldChar w:fldCharType="begin"/>
      </w:r>
      <w:r>
        <w:instrText xml:space="preserve"> ADDIN ZOTERO_ITEM CSL_CITATION {"citationID":"szHwPAch","properties":{"unsorted":false,"formattedCitation":"[16]","plainCitation":"[16]","noteIndex":0},"citationItems":[{"id":60,"uris":["http://zotero.org/users/19904160/items/4K5XXBT7"],"itemData":{"id":60,"type":"article-journal","abstract":"The shipping industry is becoming increasingly aware of its environmental responsibilities in the long-term. In 2018, the International Maritime Organization (IMO) pledged to reduce greenhouse gas (GHG) emissions by at least 50% by the year 2050 as compared with a baseline value from 2008. Ammonia has been regarded as one of the potential carbon-free fuels for ships based on these environmental issues. In this paper, we propose four propulsion systems for a 2500 Twenty-foot Equivalent Unit (TEU) container feeder ship. All of the proposed systems are fueled by ammonia; however, different power systems are used: main engine, generators, polymer electrolyte membrane fuel cell (PEMFC), and solid oxide fuel cell (SOFC). Further, these systems are compared to the conventional main engine propulsion system that is fueled by heavy fuel oil, with a focus on the economic and environmental perspectives. By comparing the conventional and proposed systems, it is shown that ammonia can be a carbon-free fuel for ships. Moreover, among the proposed systems, the SOFC power system is the most eco-friendly alternative (up to 92.1%), even though it requires a high lifecycle cost than the others. Although this study has some limitations and assumptions, the results indicate a meaningful approach toward solving GHG problems in the maritime industry.","container-title":"Journal of Marine Science and Engineering","DOI":"10.3390/jmse8030183","ISSN":"2077-1312","issue":"3","journalAbbreviation":"JMSE","language":"en","page":"183","source":"DOI.org (Crossref)","title":"A Preliminary Study on an Alternative Ship Propulsion System Fueled by Ammonia: Environmental and Economic Assessments","title-short":"A Preliminary Study on an Alternative Ship Propulsion System Fueled by Ammonia","volume":"8","author":[{"family":"Kim","given":"Kyunghwa"},{"family":"Roh","given":"Gilltae"},{"family":"Kim","given":"Wook"},{"family":"Chun","given":"Kangwoo"}],"issued":{"date-parts":[["2020",3,7]]}}}],"schema":"https://github.com/citation-style-language/schema/raw/master/csl-citation.json"} </w:instrText>
      </w:r>
      <w:r>
        <w:fldChar w:fldCharType="separate"/>
      </w:r>
      <w:r>
        <w:rPr>
          <w:rFonts w:cs="Times New Roman"/>
        </w:rPr>
        <w:t>[16]</w:t>
      </w:r>
      <w:r>
        <w:fldChar w:fldCharType="end"/>
      </w:r>
      <w:r>
        <w:t xml:space="preserve">. Η αμμωνία μπορεί να αξιοποιηθεί στα ενεργειακά συστήματα των πλοίων μέσω διαφόρων </w:t>
      </w:r>
      <w:r>
        <w:lastRenderedPageBreak/>
        <w:t xml:space="preserve">τεχνολογικών οδών, όπως η παραγωγή υδρογόνου με βάση την ηλεκτρόλυση, η χρήση σε κυψέλες καυσίμου PEM και SOFC (είτε απευθείας είτε μέσω διάσπασης), η απευθείας καύση σε μηχανές εσωτερικής καύσης (ICE) και η ενσωμάτωση σε υβριδικά συστήματα που περιλαμβάνουν συστήματα αποθήκευσης ενέργειας (ESS), ανάκτηση </w:t>
      </w:r>
      <w:proofErr w:type="spellStart"/>
      <w:r>
        <w:t>απορριπτόμενης</w:t>
      </w:r>
      <w:proofErr w:type="spellEnd"/>
      <w:r>
        <w:t xml:space="preserve"> θερμότητας και βοηθητικές μονάδες ισχύος. Τα συστήματα παραγωγής αμμωνίας επί του πλοίου θα απαιτούσαν την ενσωμάτωση ηλεκτρολυτών για την παραγωγή υδρογόνου, μονάδων διαχωρισμού αέρα για την απομόνωση αζώτου και συμπαγών αντιδραστήρων σύνθεσης αμμωνίας, όπως αρθρωτά (</w:t>
      </w:r>
      <w:proofErr w:type="spellStart"/>
      <w:r>
        <w:t>modular</w:t>
      </w:r>
      <w:proofErr w:type="spellEnd"/>
      <w:r>
        <w:t xml:space="preserve">) συστήματα </w:t>
      </w:r>
      <w:proofErr w:type="spellStart"/>
      <w:r>
        <w:t>Haber</w:t>
      </w:r>
      <w:proofErr w:type="spellEnd"/>
      <w:r>
        <w:t>–</w:t>
      </w:r>
      <w:proofErr w:type="spellStart"/>
      <w:r>
        <w:t>Bosch</w:t>
      </w:r>
      <w:proofErr w:type="spellEnd"/>
      <w:r>
        <w:t xml:space="preserve"> ή αναδυόμενα ηλεκτροχημικά συστήματα. Ωστόσο, λόγω σημαντικών περιορισμών ως προς την ενέργεια, τον χώρο και την ασφάλεια, η αμμωνία παράγεται σήμερα κυρίως στην ξηρά και παρέχεται στα πλοία μέσω υποδομών εφοδιασμού καυσίμων (</w:t>
      </w:r>
      <w:proofErr w:type="spellStart"/>
      <w:r>
        <w:t>bunkering</w:t>
      </w:r>
      <w:proofErr w:type="spellEnd"/>
      <w:r>
        <w:t xml:space="preserve">) </w:t>
      </w:r>
      <w:r>
        <w:fldChar w:fldCharType="begin"/>
      </w:r>
      <w:r>
        <w:instrText xml:space="preserve"> ADDIN ZOTERO_ITEM CSL_CITATION {"citationID":"pqgdKSsy","properties":{"unsorted":false,"formattedCitation":"[16], [17], [18]","plainCitation":"[16], [17], [18]","noteIndex":0},"citationItems":[{"id":60,"uris":["http://zotero.org/users/19904160/items/4K5XXBT7"],"itemData":{"id":60,"type":"article-journal","abstract":"The shipping industry is becoming increasingly aware of its environmental responsibilities in the long-term. In 2018, the International Maritime Organization (IMO) pledged to reduce greenhouse gas (GHG) emissions by at least 50% by the year 2050 as compared with a baseline value from 2008. Ammonia has been regarded as one of the potential carbon-free fuels for ships based on these environmental issues. In this paper, we propose four propulsion systems for a 2500 Twenty-foot Equivalent Unit (TEU) container feeder ship. All of the proposed systems are fueled by ammonia; however, different power systems are used: main engine, generators, polymer electrolyte membrane fuel cell (PEMFC), and solid oxide fuel cell (SOFC). Further, these systems are compared to the conventional main engine propulsion system that is fueled by heavy fuel oil, with a focus on the economic and environmental perspectives. By comparing the conventional and proposed systems, it is shown that ammonia can be a carbon-free fuel for ships. Moreover, among the proposed systems, the SOFC power system is the most eco-friendly alternative (up to 92.1%), even though it requires a high lifecycle cost than the others. Although this study has some limitations and assumptions, the results indicate a meaningful approach toward solving GHG problems in the maritime industry.","container-title":"Journal of Marine Science and Engineering","DOI":"10.3390/jmse8030183","ISSN":"2077-1312","issue":"3","journalAbbreviation":"JMSE","language":"en","page":"183","source":"DOI.org (Crossref)","title":"A Preliminary Study on an Alternative Ship Propulsion System Fueled by Ammonia: Environmental and Economic Assessments","title-short":"A Preliminary Study on an Alternative Ship Propulsion System Fueled by Ammonia","volume":"8","author":[{"family":"Kim","given":"Kyunghwa"},{"family":"Roh","given":"Gilltae"},{"family":"Kim","given":"Wook"},{"family":"Chun","given":"Kangwoo"}],"issued":{"date-parts":[["2020",3,7]]}}},{"id":68,"uris":["http://zotero.org/users/19904160/items/FX7EJNDX"],"itemData":{"id":68,"type":"article-journal","abstract":"Arguably, one of the most important issues the world is facing currently is climate change. At the current rate of fossil fuel consumption, the world is heading towards extreme levels of global temperature rise if immediate actions are not taken. Transforming the current energy system from one largely based on fossil fuels to a carbon-neutral one requires unprecedented speed. Based on the current state of development, direct electrification of the future energy system alone is technically challenging and not enough, especially in hard-to-abate sectors like heavy industry, road trucking, international shipping, and aviation. This leaves a considerable demand for alternative carbon-neutral fuels such as green ammonia and hydrogen and renewable methanol. From this perspective, we discuss the overarching roles of each fuel in reaching net zero emission within the next three decades. The challenges and future directions associated with the fuels conclude the current perspective paper.","container-title":"Energies","DOI":"10.3390/en16010280","ISSN":"1996-1073","issue":"1","journalAbbreviation":"Energies","language":"en","page":"280","source":"DOI.org (Crossref)","title":"A Perspective on the Overarching Role of Hydrogen, Ammonia, and Methanol Carbon-Neutral Fuels towards Net Zero Emission in the Next Three Decades","volume":"16","author":[{"family":"Liu","given":"Haifeng"},{"family":"Ampah","given":"Jeffrey Dankwa"},{"family":"Zhao","given":"Yang"},{"family":"Sun","given":"Xingyu"},{"family":"Xu","given":"Linxun"},{"family":"Jiang","given":"Xueli"},{"family":"Wang","given":"Shuaishuai"}],"issued":{"date-parts":[["2022",12,27]]}}},{"id":76,"uris":["http://zotero.org/users/19904160/items/U6EW9LWP"],"itemData":{"id":76,"type":"article-journal","container-title":"Current Opinion in Chemical Engineering","DOI":"10.1016/j.coche.2021.100670","ISSN":"22113398","journalAbbreviation":"Current Opinion in Chemical Engineering","language":"en","page":"100670","source":"DOI.org (Crossref)","title":"Renewable ammonia as an alternative fuel for the shipping industry","volume":"31","author":[{"family":"Al-Aboosi","given":"Fadhil Y"},{"family":"El-Halwagi","given":"Mahmoud M"},{"family":"Moore","given":"Margaux"},{"family":"Nielsen","given":"Rasmus B"}],"issued":{"date-parts":[["2021",3]]}}}],"schema":"https://github.com/citation-style-language/schema/raw/master/csl-citation.json"} </w:instrText>
      </w:r>
      <w:r>
        <w:fldChar w:fldCharType="separate"/>
      </w:r>
      <w:r>
        <w:rPr>
          <w:rFonts w:cs="Times New Roman"/>
        </w:rPr>
        <w:t>[16], [17], [18]</w:t>
      </w:r>
      <w:r>
        <w:fldChar w:fldCharType="end"/>
      </w:r>
      <w:r>
        <w:t>. Η αμμωνία έχει σημαντικά χαμηλότερη ενεργειακή πυκνότητα (22.5 MJ/</w:t>
      </w:r>
      <w:proofErr w:type="spellStart"/>
      <w:r>
        <w:t>kg</w:t>
      </w:r>
      <w:proofErr w:type="spellEnd"/>
      <w:r>
        <w:t>) σε σύγκριση με το υδρογόνο (142 MJ/</w:t>
      </w:r>
      <w:proofErr w:type="spellStart"/>
      <w:r>
        <w:t>kg</w:t>
      </w:r>
      <w:proofErr w:type="spellEnd"/>
      <w:r>
        <w:t xml:space="preserve">), η οποία παραμένει πάντως υψηλότερη από εκείνη αρκετών συμβατικών καυσίμων </w:t>
      </w:r>
      <w:r>
        <w:fldChar w:fldCharType="begin"/>
      </w:r>
      <w:r>
        <w:instrText xml:space="preserve"> ADDIN ZOTERO_ITEM CSL_CITATION {"citationID":"3NJqu2tp","properties":{"unsorted":false,"formattedCitation":"[18]","plainCitation":"[18]","noteIndex":0},"citationItems":[{"id":76,"uris":["http://zotero.org/users/19904160/items/U6EW9LWP"],"itemData":{"id":76,"type":"article-journal","container-title":"Current Opinion in Chemical Engineering","DOI":"10.1016/j.coche.2021.100670","ISSN":"22113398","journalAbbreviation":"Current Opinion in Chemical Engineering","language":"en","page":"100670","source":"DOI.org (Crossref)","title":"Renewable ammonia as an alternative fuel for the shipping industry","volume":"31","author":[{"family":"Al-Aboosi","given":"Fadhil Y"},{"family":"El-Halwagi","given":"Mahmoud M"},{"family":"Moore","given":"Margaux"},{"family":"Nielsen","given":"Rasmus B"}],"issued":{"date-parts":[["2021",3]]}}}],"schema":"https://github.com/citation-style-language/schema/raw/master/csl-citation.json"} </w:instrText>
      </w:r>
      <w:r>
        <w:fldChar w:fldCharType="separate"/>
      </w:r>
      <w:r>
        <w:rPr>
          <w:rFonts w:cs="Times New Roman"/>
        </w:rPr>
        <w:t>[18]</w:t>
      </w:r>
      <w:r>
        <w:fldChar w:fldCharType="end"/>
      </w:r>
      <w:r>
        <w:t xml:space="preserve">, και αποθηκεύεται με τρόπο παρόμοιο με το προπάνιο, σε τάση ατμών περίπου 8 </w:t>
      </w:r>
      <w:proofErr w:type="spellStart"/>
      <w:r>
        <w:t>bar</w:t>
      </w:r>
      <w:proofErr w:type="spellEnd"/>
      <w:r>
        <w:t xml:space="preserve"> υπό συνθήκες θερμοκρασίας περιβάλλοντος </w:t>
      </w:r>
      <w:r>
        <w:fldChar w:fldCharType="begin"/>
      </w:r>
      <w:r>
        <w:instrText xml:space="preserve"> ADDIN ZOTERO_ITEM CSL_CITATION {"citationID":"THEnb2Ue","properties":{"unsorted":false,"formattedCitation":"[19]","plainCitation":"[19]","noteIndex":0},"citationItems":[{"id":78,"uris":["http://zotero.org/users/19904160/items/PGQN3TSG"],"itemData":{"id":78,"type":"article-journal","abstract":"In this study, ammonia is identiﬁed as a sustainable fuel for mobile and remote applications. Similar to hydrogen, ammonia is a synthetic product that can be obtained either from fossil fuels, biomass, or other renewable sources. Some advantages of ammonia with respect to hydrogen are less expensive cost per unit of stored energy, higher volumetric energy density that is comparable with that of gasoline, easier production, handling and distribution with the existent infrastructure, and better commercial viability. Here, the possible ways to use ammonia as a sustainable fuel in internal combustion engines and fuelcells are discussed and analysed based on some thermodynamic performance models through efﬁciency and effectiveness parameters. The refrigeration effect of ammonia, which is another advantage, is also included in the efﬁciency calculations. The study suggests that the most efﬁcient system is based on fuelcells which provide simultaneously power, heating and cooling and its only exhaust consists of water and nitrogen. If the cooling effect is taken into consideration, the system’s effectiveness reaches 46% implying that a medium size car ranges over 500 km with 50 l fuel at a cost below $2 per 100 km. The cooling power represents about 7.2% from the engine power, being thus a valuable side beneﬁt of ammonia’s presence on-board.","container-title":"Journal of Power Sources","DOI":"10.1016/j.jpowsour.2008.02.097","ISSN":"03787753","issue":"1","journalAbbreviation":"Journal of Power Sources","language":"en","license":"https://www.elsevier.com/tdm/userlicense/1.0/","page":"459-465","source":"DOI.org (Crossref)","title":"Using ammonia as a sustainable fuel","volume":"185","author":[{"family":"Zamfirescu","given":"C."},{"family":"Dincer","given":"I."}],"issued":{"date-parts":[["2008",10]]}}}],"schema":"https://github.com/citation-style-language/schema/raw/master/csl-citation.json"} </w:instrText>
      </w:r>
      <w:r>
        <w:fldChar w:fldCharType="separate"/>
      </w:r>
      <w:r>
        <w:rPr>
          <w:rFonts w:cs="Times New Roman"/>
        </w:rPr>
        <w:t>[19]</w:t>
      </w:r>
      <w:r>
        <w:fldChar w:fldCharType="end"/>
      </w:r>
      <w:r>
        <w:t xml:space="preserve">. Έχουν γίνει πολυάριθμες προσπάθειες αξιοποίησης της αμμωνίας ως βιώσιμου καυσίμου, όμως η διαδικασία παραγωγής της απέχει ακόμη πολύ από το να είναι περιβαλλοντικά καθαρή </w:t>
      </w:r>
      <w:r>
        <w:fldChar w:fldCharType="begin"/>
      </w:r>
      <w:r>
        <w:instrText xml:space="preserve"> ADDIN ZOTERO_ITEM CSL_CITATION {"citationID":"zOomdw9I","properties":{"unsorted":false,"formattedCitation":"[17]","plainCitation":"[17]","noteIndex":0},"citationItems":[{"id":68,"uris":["http://zotero.org/users/19904160/items/FX7EJNDX"],"itemData":{"id":68,"type":"article-journal","abstract":"Arguably, one of the most important issues the world is facing currently is climate change. At the current rate of fossil fuel consumption, the world is heading towards extreme levels of global temperature rise if immediate actions are not taken. Transforming the current energy system from one largely based on fossil fuels to a carbon-neutral one requires unprecedented speed. Based on the current state of development, direct electrification of the future energy system alone is technically challenging and not enough, especially in hard-to-abate sectors like heavy industry, road trucking, international shipping, and aviation. This leaves a considerable demand for alternative carbon-neutral fuels such as green ammonia and hydrogen and renewable methanol. From this perspective, we discuss the overarching roles of each fuel in reaching net zero emission within the next three decades. The challenges and future directions associated with the fuels conclude the current perspective paper.","container-title":"Energies","DOI":"10.3390/en16010280","ISSN":"1996-1073","issue":"1","journalAbbreviation":"Energies","language":"en","page":"280","source":"DOI.org (Crossref)","title":"A Perspective on the Overarching Role of Hydrogen, Ammonia, and Methanol Carbon-Neutral Fuels towards Net Zero Emission in the Next Three Decades","volume":"16","author":[{"family":"Liu","given":"Haifeng"},{"family":"Ampah","given":"Jeffrey Dankwa"},{"family":"Zhao","given":"Yang"},{"family":"Sun","given":"Xingyu"},{"family":"Xu","given":"Linxun"},{"family":"Jiang","given":"Xueli"},{"family":"Wang","given":"Shuaishuai"}],"issued":{"date-parts":[["2022",12,27]]}}}],"schema":"https://github.com/citation-style-language/schema/raw/master/csl-citation.json"} </w:instrText>
      </w:r>
      <w:r>
        <w:fldChar w:fldCharType="separate"/>
      </w:r>
      <w:r>
        <w:rPr>
          <w:rFonts w:cs="Times New Roman"/>
        </w:rPr>
        <w:t>[17]</w:t>
      </w:r>
      <w:r>
        <w:fldChar w:fldCharType="end"/>
      </w:r>
      <w:r>
        <w:t>.</w:t>
      </w:r>
    </w:p>
    <w:p w14:paraId="763428BC" w14:textId="77777777" w:rsidR="009B7A11" w:rsidRPr="00822C2D" w:rsidRDefault="00FC49C7" w:rsidP="000F5AB0">
      <w:pPr>
        <w:pStyle w:val="4"/>
        <w:spacing w:line="360" w:lineRule="auto"/>
        <w:jc w:val="both"/>
      </w:pPr>
      <w:bookmarkStart w:id="11" w:name="_Toc243355274"/>
      <w:r>
        <w:t>Υδρογόνο (H</w:t>
      </w:r>
      <w:r>
        <w:rPr>
          <w:vertAlign w:val="subscript"/>
        </w:rPr>
        <w:t>2</w:t>
      </w:r>
      <w:r>
        <w:t>)</w:t>
      </w:r>
      <w:bookmarkEnd w:id="11"/>
    </w:p>
    <w:p w14:paraId="4A0BA3DD" w14:textId="1152B780" w:rsidR="004B4B47" w:rsidRPr="00822C2D" w:rsidRDefault="00EA0200" w:rsidP="000F5AB0">
      <w:pPr>
        <w:spacing w:line="360" w:lineRule="auto"/>
        <w:ind w:firstLine="576"/>
        <w:jc w:val="both"/>
        <w:rPr>
          <w:rFonts w:eastAsia="Times New Roman"/>
        </w:rPr>
      </w:pPr>
      <w:r>
        <w:rPr>
          <w:rFonts w:eastAsia="Times New Roman"/>
        </w:rPr>
        <w:t xml:space="preserve">Βραχυπρόθεσμα (5–10 έτη), ο κλάδος επιδιώκει να μειώσει τις εκπομπές μέσω ενός συνδυασμού τεχνολογικών και επιχειρησιακών βελτιώσεων, ενώ μακροπρόθεσμα ενδέχεται να απαιτηθεί μετάβαση σε εναλλακτικά καύσιμα. Μεταξύ αυτών των επιλογών, το υδρογόνο σε συστήματα κυψελών καυσίμου θεωρείται ευρέως υποσχόμενη μακροπρόθεσμη λύση </w:t>
      </w:r>
      <w:r>
        <w:rPr>
          <w:rFonts w:eastAsia="Times New Roman"/>
        </w:rPr>
        <w:fldChar w:fldCharType="begin"/>
      </w:r>
      <w:r>
        <w:rPr>
          <w:rFonts w:eastAsia="Times New Roman"/>
        </w:rPr>
        <w:instrText xml:space="preserve"> ADDIN ZOTERO_ITEM CSL_CITATION {"citationID":"aGw2RgPc","properties":{"unsorted":false,"formattedCitation":"[20]","plainCitation":"[20]","noteIndex":0},"citationItems":[{"id":80,"uris":["http://zotero.org/users/19904160/items/7MRUI5IR"],"itemData":{"id":80,"type":"article-journal","language":"en","source":"Zotero","title":"The potential of hydrogen to fuel international shipping","author":[{"family":"Raucci","given":"Carlo"}]}}],"schema":"https://github.com/citation-style-language/schema/raw/master/csl-citation.json"} </w:instrText>
      </w:r>
      <w:r>
        <w:rPr>
          <w:rFonts w:eastAsia="Times New Roman"/>
        </w:rPr>
        <w:fldChar w:fldCharType="separate"/>
      </w:r>
      <w:r>
        <w:rPr>
          <w:rFonts w:cs="Times New Roman"/>
        </w:rPr>
        <w:t>[20]</w:t>
      </w:r>
      <w:r>
        <w:rPr>
          <w:rFonts w:eastAsia="Times New Roman"/>
        </w:rPr>
        <w:fldChar w:fldCharType="end"/>
      </w:r>
      <w:r>
        <w:rPr>
          <w:rFonts w:eastAsia="Times New Roman"/>
        </w:rPr>
        <w:t xml:space="preserve">. Το υδρογόνο αναδεικνύεται σε βασική πηγή ενέργειας και κινητοποιεί παγκόσμιες ερευνητικές προσπάθειες για την επίτευξη εμπορικής βιωσιμότητας, χάρη στα φιλικότερα προς το περιβάλλον χαρακτηριστικά του σε σύγκριση με τα καύσιμα που χρησιμοποιούνται σήμερα. Η ταχεία ανάπτυξή του και το αυξανόμενο ενδιαφέρον από διάφορους τομείς αναδεικνύουν τη δυνατότητά του να αποτελέσει αποτελεσματική εναλλακτική λύση έναντι των ορυκτών καυσίμων και υποσχόμενη λύση για την ικανοποίηση των περιβαλλοντικών απαιτήσεων και των στόχων του IMO </w:t>
      </w:r>
      <w:r>
        <w:rPr>
          <w:rFonts w:eastAsia="Times New Roman"/>
        </w:rPr>
        <w:fldChar w:fldCharType="begin"/>
      </w:r>
      <w:r>
        <w:rPr>
          <w:rFonts w:eastAsia="Times New Roman"/>
        </w:rPr>
        <w:instrText xml:space="preserve"> ADDIN ZOTERO_ITEM CSL_CITATION {"citationID":"AWPDBoXB","properties":{"unsorted":false,"formattedCitation":"[21]","plainCitation":"[21]","noteIndex":0},"citationItems":[{"id":87,"uris":["http://zotero.org/users/19904160/items/HBE6KM93"],"itemData":{"id":87,"type":"article-journal","abstract":"Despite the increasing demand for hydrogen, the maritime industry continues its multifaceted efforts despite classification problems. Many studies based on its usability in existing ships support the transition to decarbonization. This study, using a holistic approach, consumption of container ships as a reference and presented the effects of hydrogen hybridization based on consumption data through a model study and thermodynamic analyses. It also examined the environmental impact assessment of hydrogen addition up to 20 %. A frontier analysis also addressed potential process impact assessments for shipping. It also examined the environmental impact assessment of hydrogen addition up to 20 %. A frontier analysis also addressed potential process impact assessments for shipping. The analyses showed that a 20 % H2 addition could increase the energy efficiency and exergy efficiency of an engine with approximately 56 %. Furthermore, it was found that an average environmental impact improvement of 18.71 % could be achieved, and with 20 % H2, this could reach 24.36 %. A frontier analysis predicted that H2 addition would be more effective, particularly on low-power container ships. At the end of the study, the priorities determined by the frontier analysis and some recommendations regarding the importance of hydrogen in the transition of decarbonization have also been presented.","container-title":"International Journal of Hydrogen Energy","DOI":"10.1016/j.ijhydene.2026.153489","ISSN":"03603199","journalAbbreviation":"International Journal of Hydrogen Energy","language":"en","page":"153489","source":"DOI.org (Crossref)","title":"Environmental assessment of hydrogen supplement on shipping decarbonization role for container ships","volume":"207","author":[{"family":"Sogut","given":"M. Ziya"}],"issued":{"date-parts":[["2026",2]]}}}],"schema":"https://github.com/citation-style-language/schema/raw/master/csl-citation.json"} </w:instrText>
      </w:r>
      <w:r>
        <w:rPr>
          <w:rFonts w:eastAsia="Times New Roman"/>
        </w:rPr>
        <w:fldChar w:fldCharType="separate"/>
      </w:r>
      <w:r>
        <w:rPr>
          <w:rFonts w:cs="Times New Roman"/>
        </w:rPr>
        <w:t>[21]</w:t>
      </w:r>
      <w:r>
        <w:rPr>
          <w:rFonts w:eastAsia="Times New Roman"/>
        </w:rPr>
        <w:fldChar w:fldCharType="end"/>
      </w:r>
      <w:r>
        <w:rPr>
          <w:rFonts w:eastAsia="Times New Roman"/>
        </w:rPr>
        <w:t xml:space="preserve">. Το υδρογόνο μπορεί να παραχθεί από δύο κύριες πηγές: από ορυκτά καύσιμα (φυσικό αέριο και αργό πετρέλαιο) και από ανανεώσιμες πηγές </w:t>
      </w:r>
      <w:r>
        <w:rPr>
          <w:rFonts w:eastAsia="Times New Roman"/>
        </w:rPr>
        <w:lastRenderedPageBreak/>
        <w:t xml:space="preserve">ενέργειας (ηλεκτρόλυση νερού) </w:t>
      </w:r>
      <w:r>
        <w:rPr>
          <w:rFonts w:eastAsia="Times New Roman"/>
        </w:rPr>
        <w:fldChar w:fldCharType="begin"/>
      </w:r>
      <w:r>
        <w:rPr>
          <w:rFonts w:eastAsia="Times New Roman"/>
        </w:rPr>
        <w:instrText xml:space="preserve"> ADDIN ZOTERO_ITEM CSL_CITATION {"citationID":"wrjDKtku","properties":{"unsorted":false,"formattedCitation":"[22]","plainCitation":"[22]","noteIndex":0},"citationItems":[{"id":84,"uris":["http://zotero.org/users/19904160/items/CHAIFIJF"],"itemData":{"id":84,"type":"article-journal","abstract":"This paper presents a prospective life cycle assessment (pLCA) framework to evaluate the greenhouse gas (GHG) reduction potential of hydrogen-based e-fuels in international shipping. Maritime transport currently contributes approximately 2.89 % of global anthropogenic GHG emissions, with projections indicating a possible increase to 130 % of 2008 levels by 2050. In response, the International Maritime Organization (IMO) aims for net-zero emissions around 2050, necessitating a shift from fossil-based fuels to renewable alternatives. However, concerns persist regarding the life-cycle GHG emissions of such fuels, especially during the well-to-tank stage.","container-title":"Renewable and Sustainable Energy Reviews","DOI":"10.1016/j.rser.2025.116219","ISSN":"13640321","journalAbbreviation":"Renewable and Sustainable Energy Reviews","language":"en","page":"116219","source":"DOI.org (Crossref)","title":"A prospective life cycle assessment framework for sustainable renewable fuels in international shipping: Hydrogen based e fuels","title-short":"A prospective life cycle assessment framework for sustainable renewable fuels in international shipping","volume":"226","author":[{"family":"Ha","given":"Seungman"},{"family":"Jang","given":"Hayoung"},{"family":"Park","given":"Chybyung"},{"family":"Jeong","given":"Byongug"}],"issued":{"date-parts":[["2026",1]]}}}],"schema":"https://github.com/citation-style-language/schema/raw/master/csl-citation.json"} </w:instrText>
      </w:r>
      <w:r>
        <w:rPr>
          <w:rFonts w:eastAsia="Times New Roman"/>
        </w:rPr>
        <w:fldChar w:fldCharType="separate"/>
      </w:r>
      <w:r>
        <w:rPr>
          <w:rFonts w:cs="Times New Roman"/>
        </w:rPr>
        <w:t>[22]</w:t>
      </w:r>
      <w:r>
        <w:rPr>
          <w:rFonts w:eastAsia="Times New Roman"/>
        </w:rPr>
        <w:fldChar w:fldCharType="end"/>
      </w:r>
      <w:r>
        <w:rPr>
          <w:rFonts w:eastAsia="Times New Roman"/>
        </w:rPr>
        <w:t xml:space="preserve">. Το δεύτερο αναφέρεται επίσης ως πράσινο υδρογόνο ή e-υδρογόνο. </w:t>
      </w:r>
      <w:r w:rsidR="007904DA" w:rsidRPr="007904DA">
        <w:rPr>
          <w:rFonts w:eastAsia="Times New Roman"/>
        </w:rPr>
        <w:t>Η παραγωγή του βασίζεται κατά κύριο λόγο στο φυσικό αέριο (</w:t>
      </w:r>
      <w:r w:rsidR="00BA38E3">
        <w:rPr>
          <w:rFonts w:eastAsia="Times New Roman"/>
        </w:rPr>
        <w:t xml:space="preserve">κυρίως </w:t>
      </w:r>
      <w:r w:rsidR="007904DA" w:rsidRPr="007904DA">
        <w:rPr>
          <w:rFonts w:eastAsia="Times New Roman"/>
        </w:rPr>
        <w:t>CH₄), ενώ η φυσική του παρουσία σε καθαρή μορφή είναι περιορισμένη</w:t>
      </w:r>
      <w:r>
        <w:rPr>
          <w:rFonts w:eastAsia="Times New Roman"/>
        </w:rPr>
        <w:t xml:space="preserve"> </w:t>
      </w:r>
      <w:r>
        <w:rPr>
          <w:rFonts w:eastAsia="Times New Roman"/>
        </w:rPr>
        <w:fldChar w:fldCharType="begin"/>
      </w:r>
      <w:r>
        <w:rPr>
          <w:rFonts w:eastAsia="Times New Roman"/>
        </w:rPr>
        <w:instrText xml:space="preserve"> ADDIN ZOTERO_ITEM CSL_CITATION {"citationID":"NeIFWj0e","properties":{"unsorted":false,"formattedCitation":"[16]","plainCitation":"[16]","noteIndex":0},"citationItems":[{"id":60,"uris":["http://zotero.org/users/19904160/items/4K5XXBT7"],"itemData":{"id":60,"type":"article-journal","abstract":"The shipping industry is becoming increasingly aware of its environmental responsibilities in the long-term. In 2018, the International Maritime Organization (IMO) pledged to reduce greenhouse gas (GHG) emissions by at least 50% by the year 2050 as compared with a baseline value from 2008. Ammonia has been regarded as one of the potential carbon-free fuels for ships based on these environmental issues. In this paper, we propose four propulsion systems for a 2500 Twenty-foot Equivalent Unit (TEU) container feeder ship. All of the proposed systems are fueled by ammonia; however, different power systems are used: main engine, generators, polymer electrolyte membrane fuel cell (PEMFC), and solid oxide fuel cell (SOFC). Further, these systems are compared to the conventional main engine propulsion system that is fueled by heavy fuel oil, with a focus on the economic and environmental perspectives. By comparing the conventional and proposed systems, it is shown that ammonia can be a carbon-free fuel for ships. Moreover, among the proposed systems, the SOFC power system is the most eco-friendly alternative (up to 92.1%), even though it requires a high lifecycle cost than the others. Although this study has some limitations and assumptions, the results indicate a meaningful approach toward solving GHG problems in the maritime industry.","container-title":"Journal of Marine Science and Engineering","DOI":"10.3390/jmse8030183","ISSN":"2077-1312","issue":"3","journalAbbreviation":"JMSE","language":"en","page":"183","source":"DOI.org (Crossref)","title":"A Preliminary Study on an Alternative Ship Propulsion System Fueled by Ammonia: Environmental and Economic Assessments","title-short":"A Preliminary Study on an Alternative Ship Propulsion System Fueled by Ammonia","volume":"8","author":[{"family":"Kim","given":"Kyunghwa"},{"family":"Roh","given":"Gilltae"},{"family":"Kim","given":"Wook"},{"family":"Chun","given":"Kangwoo"}],"issued":{"date-parts":[["2020",3,7]]}}}],"schema":"https://github.com/citation-style-language/schema/raw/master/csl-citation.json"} </w:instrText>
      </w:r>
      <w:r>
        <w:rPr>
          <w:rFonts w:eastAsia="Times New Roman"/>
        </w:rPr>
        <w:fldChar w:fldCharType="separate"/>
      </w:r>
      <w:r>
        <w:rPr>
          <w:rFonts w:cs="Times New Roman"/>
        </w:rPr>
        <w:t>[16]</w:t>
      </w:r>
      <w:r>
        <w:rPr>
          <w:rFonts w:eastAsia="Times New Roman"/>
        </w:rPr>
        <w:fldChar w:fldCharType="end"/>
      </w:r>
      <w:r>
        <w:rPr>
          <w:rFonts w:eastAsia="Times New Roman"/>
        </w:rPr>
        <w:t xml:space="preserve">. Σήμερα, οι κύριες εφαρμογές του αφορούν τις κυψέλες καυσίμου και την παραγωγή ηλεκτρικής ενέργειας, αλλά μπορεί επίσης να χρησιμοποιηθεί ως καταλύτης με υψηλή παραγωγή θερμότητας, με σημαντική συμβολή και στις μηχανές εσωτερικής καύσης (ICE). Οι εταιρείες διερευνούν τη χρήση του υδρογόνου σε συστήματα κυψελών καυσίμου ή σε μπαταρίες κυψελών καυσίμου, υποστηρίζοντας τον </w:t>
      </w:r>
      <w:proofErr w:type="spellStart"/>
      <w:r>
        <w:rPr>
          <w:rFonts w:eastAsia="Times New Roman"/>
        </w:rPr>
        <w:t>εξυβριδισμό</w:t>
      </w:r>
      <w:proofErr w:type="spellEnd"/>
      <w:r>
        <w:rPr>
          <w:rFonts w:eastAsia="Times New Roman"/>
        </w:rPr>
        <w:t xml:space="preserve"> των υφιστάμενων τεχνολογιών ορυκτών καυσίμων. Χρησιμοποιείται συχνά σε υβριδικά συστήματα ή σε συστήματα βασισμένα σε κυψέλες καυσίμου, όπου η εφαρμογή του στις ναυτιλιακές δραστηριότητες —ιδίως σε διαδρομές μικρής απόστασης και σε τύπους πλοίων όπως τα επιβατηγά-οχηματαγωγά, τα ρυμουλκά και τα ιδιωτικά σκάφη— μπορεί να λειτουργήσει είτε ως κύρια πηγή ηλεκτρικής ενέργειας είτε ως υποστηρικτικό καύσιμο </w:t>
      </w:r>
      <w:r>
        <w:rPr>
          <w:rFonts w:eastAsia="Times New Roman"/>
        </w:rPr>
        <w:fldChar w:fldCharType="begin"/>
      </w:r>
      <w:r>
        <w:rPr>
          <w:rFonts w:eastAsia="Times New Roman"/>
        </w:rPr>
        <w:instrText xml:space="preserve"> ADDIN ZOTERO_ITEM CSL_CITATION {"citationID":"14j2dJRy","properties":{"unsorted":false,"formattedCitation":"[21]","plainCitation":"[21]","noteIndex":0},"citationItems":[{"id":87,"uris":["http://zotero.org/users/19904160/items/HBE6KM93"],"itemData":{"id":87,"type":"article-journal","abstract":"Despite the increasing demand for hydrogen, the maritime industry continues its multifaceted efforts despite classification problems. Many studies based on its usability in existing ships support the transition to decarbonization. This study, using a holistic approach, consumption of container ships as a reference and presented the effects of hydrogen hybridization based on consumption data through a model study and thermodynamic analyses. It also examined the environmental impact assessment of hydrogen addition up to 20 %. A frontier analysis also addressed potential process impact assessments for shipping. It also examined the environmental impact assessment of hydrogen addition up to 20 %. A frontier analysis also addressed potential process impact assessments for shipping. The analyses showed that a 20 % H2 addition could increase the energy efficiency and exergy efficiency of an engine with approximately 56 %. Furthermore, it was found that an average environmental impact improvement of 18.71 % could be achieved, and with 20 % H2, this could reach 24.36 %. A frontier analysis predicted that H2 addition would be more effective, particularly on low-power container ships. At the end of the study, the priorities determined by the frontier analysis and some recommendations regarding the importance of hydrogen in the transition of decarbonization have also been presented.","container-title":"International Journal of Hydrogen Energy","DOI":"10.1016/j.ijhydene.2026.153489","ISSN":"03603199","journalAbbreviation":"International Journal of Hydrogen Energy","language":"en","page":"153489","source":"DOI.org (Crossref)","title":"Environmental assessment of hydrogen supplement on shipping decarbonization role for container ships","volume":"207","author":[{"family":"Sogut","given":"M. Ziya"}],"issued":{"date-parts":[["2026",2]]}}}],"schema":"https://github.com/citation-style-language/schema/raw/master/csl-citation.json"} </w:instrText>
      </w:r>
      <w:r>
        <w:rPr>
          <w:rFonts w:eastAsia="Times New Roman"/>
        </w:rPr>
        <w:fldChar w:fldCharType="separate"/>
      </w:r>
      <w:r>
        <w:rPr>
          <w:rFonts w:cs="Times New Roman"/>
        </w:rPr>
        <w:t>[21]</w:t>
      </w:r>
      <w:r>
        <w:rPr>
          <w:rFonts w:eastAsia="Times New Roman"/>
        </w:rPr>
        <w:fldChar w:fldCharType="end"/>
      </w:r>
      <w:r>
        <w:rPr>
          <w:rFonts w:eastAsia="Times New Roman"/>
        </w:rPr>
        <w:t xml:space="preserve">. Το υδρογόνο κατηγοριοποιείται συνήθως ως γκρι, μπλε ή πράσινο, ανάλογα με την οδό παραγωγής του. Το γκρι υδρογόνο παράγεται από ορυκτά καύσιμα, κυρίως μέσω αναμόρφωσης με ατμό, η οποία αντιστοιχεί σήμερα σε πάνω από το 95% της παγκόσμιας παραγωγής υδρογόνου. Όταν οι εκπομπές άνθρακα που προκύπτουν δεσμεύονται, αποθηκεύονται ή αξιοποιούνται, γίνεται λόγος για μπλε υδρογόνο. Αντίθετα, το πράσινο υδρογόνο παράγεται με χρήση ανανεώσιμης ενέργειας και ανανεώσιμων πρώτων υλών. Παρά τις διακρίσεις αυτές, η παραγωγή γκρι και μπλε υδρογόνου εξακολουθεί να συνδέεται με σημαντικές περιβαλλοντικές επιπτώσεις, καθώς συμβάλλει σε εκπομπές περίπου 830 εκατομμυρίων τόνων CO₂ ετησίως </w:t>
      </w:r>
      <w:r>
        <w:rPr>
          <w:rFonts w:eastAsia="Times New Roman"/>
        </w:rPr>
        <w:fldChar w:fldCharType="begin"/>
      </w:r>
      <w:r>
        <w:rPr>
          <w:rFonts w:eastAsia="Times New Roman"/>
        </w:rPr>
        <w:instrText xml:space="preserve"> ADDIN ZOTERO_ITEM CSL_CITATION {"citationID":"H5hYtcS8","properties":{"unsorted":false,"formattedCitation":"[23]","plainCitation":"[23]","noteIndex":0},"citationItems":[{"id":90,"uris":["http://zotero.org/users/19904160/items/CBHHX8YU"],"itemData":{"id":90,"type":"article-journal","container-title":"Current Opinion in Chemical Engineering","DOI":"10.1016/j.coche.2020.100668","ISSN":"22113398","journalAbbreviation":"Current Opinion in Chemical Engineering","language":"en","page":"100668","source":"DOI.org (Crossref)","title":"Green hydrogen as an alternative fuel for the shipping industry","volume":"31","author":[{"family":"Atilhan","given":"Selma"},{"family":"Park","given":"Sunhwa"},{"family":"El-Halwagi","given":"Mahmoud M"},{"family":"Atilhan","given":"Mert"},{"family":"Moore","given":"Margaux"},{"family":"Nielsen","given":"Rasmus B"}],"issued":{"date-parts":[["2021",3]]}}}],"schema":"https://github.com/citation-style-language/schema/raw/master/csl-citation.json"} </w:instrText>
      </w:r>
      <w:r>
        <w:rPr>
          <w:rFonts w:eastAsia="Times New Roman"/>
        </w:rPr>
        <w:fldChar w:fldCharType="separate"/>
      </w:r>
      <w:r>
        <w:rPr>
          <w:rFonts w:cs="Times New Roman"/>
        </w:rPr>
        <w:t>[23]</w:t>
      </w:r>
      <w:r>
        <w:rPr>
          <w:rFonts w:eastAsia="Times New Roman"/>
        </w:rPr>
        <w:fldChar w:fldCharType="end"/>
      </w:r>
      <w:r>
        <w:rPr>
          <w:rFonts w:eastAsia="Times New Roman"/>
        </w:rPr>
        <w:t xml:space="preserve">. Το πράσινο υδρογόνο μπορεί να παραχθεί από διάφορες ανανεώσιμες πηγές ενέργειας, όπως η αιολική, η ηλιακή, η πυρηνική, η υδροηλεκτρική, η γεωθερμική ενέργεια και η βιομάζα, με την αιολική και την ηλιακή να είναι σήμερα οι ευρύτερα χρησιμοποιούμενες. Το υδρογόνο θεωρείται ευρέως καύσιμο μηδενικών εκπομπών του μέλλοντος, αν και για την ευρεία υιοθέτησή του πρέπει να αντιμετωπιστούν οι προκλήσεις που σχετίζονται με το κόστος παραγωγής, την πολυπλοκότητα της αποθήκευσης και την περιορισμένη υποδομή εφοδιασμού </w:t>
      </w:r>
      <w:r>
        <w:rPr>
          <w:rFonts w:eastAsia="Times New Roman"/>
        </w:rPr>
        <w:fldChar w:fldCharType="begin"/>
      </w:r>
      <w:r>
        <w:rPr>
          <w:rFonts w:eastAsia="Times New Roman"/>
        </w:rPr>
        <w:instrText xml:space="preserve"> ADDIN ZOTERO_ITEM CSL_CITATION {"citationID":"SbHUrEGD","properties":{"unsorted":false,"formattedCitation":"[24]","plainCitation":"[24]","noteIndex":0},"citationItems":[{"id":70,"uris":["http://zotero.org/users/19904160/items/QZVZWU7T"],"itemData":{"id":70,"type":"post-weblog","abstract":"Alternative fuels are a hot topic in shipping, but unlike past shifts, today’s energy transition is far more complex for owners and operators.","language":"en-US","note":"section: News","title":"Alternative fuels in shipping: a guide to green potential | bound4blue","title-short":"Alternative fuels in shipping","URL":"https://bound4blue.com/alternative-fuels-in-shipping-the-guide/","accessed":{"date-parts":[["2026",3,16]]},"issued":{"date-parts":[["2025",6,17]]}}}],"schema":"https://github.com/citation-style-language/schema/raw/master/csl-citation.json"} </w:instrText>
      </w:r>
      <w:r>
        <w:rPr>
          <w:rFonts w:eastAsia="Times New Roman"/>
        </w:rPr>
        <w:fldChar w:fldCharType="separate"/>
      </w:r>
      <w:r>
        <w:rPr>
          <w:rFonts w:cs="Times New Roman"/>
        </w:rPr>
        <w:t>[24]</w:t>
      </w:r>
      <w:r>
        <w:rPr>
          <w:rFonts w:eastAsia="Times New Roman"/>
        </w:rPr>
        <w:fldChar w:fldCharType="end"/>
      </w:r>
      <w:r>
        <w:rPr>
          <w:rFonts w:eastAsia="Times New Roman"/>
        </w:rPr>
        <w:t>.</w:t>
      </w:r>
    </w:p>
    <w:p w14:paraId="3B9A40F5" w14:textId="444BD509" w:rsidR="00FC49C7" w:rsidRPr="008655A6" w:rsidRDefault="00FC49C7" w:rsidP="000F5AB0">
      <w:pPr>
        <w:spacing w:line="360" w:lineRule="auto"/>
        <w:ind w:firstLine="576"/>
        <w:jc w:val="both"/>
      </w:pPr>
      <w:r>
        <w:rPr>
          <w:rFonts w:eastAsia="Times New Roman"/>
        </w:rPr>
        <w:t>Τα</w:t>
      </w:r>
      <w:r>
        <w:t xml:space="preserve"> εναλλακτικά καύσιμα αποκτούν ολοένα μεγαλύτερη σημασία στον ναυτιλιακό τομέα, λόγω των αυστηρότερων περιβαλλοντικών κανονισμών και της αυξανόμενης ανάγκης για μείωση των εκπομπών αερίων θερμοκηπίου. Ως αποτέλεσμα, η αναζήτηση βιώσιμων και ανανεώσιμων ναυτιλιακών καυσίμων έχει αναδειχθεί σε </w:t>
      </w:r>
      <w:r>
        <w:lastRenderedPageBreak/>
        <w:t xml:space="preserve">βασική προτεραιότητα του κλάδου </w:t>
      </w:r>
      <w:r>
        <w:fldChar w:fldCharType="begin"/>
      </w:r>
      <w:r>
        <w:instrText xml:space="preserve"> ADDIN ZOTERO_ITEM CSL_CITATION {"citationID":"FJ9wr0Uh","properties":{"unsorted":false,"formattedCitation":"[25]","plainCitation":"[25]","noteIndex":0},"citationItems":[{"id":56,"uris":["http://zotero.org/users/19904160/items/BBJLWWS5"],"itemData":{"id":56,"type":"webpage","abstract":"Explore Fuel for Thought: Insights on marine fuels, including methanol, biofuels, hydrogen, and ammonia, revolutionising alternative fuels for shipping.","language":"en","title":"Fuel for Thought - alternative marine fuels | LR","URL":"https://www.lr.org/en/knowledge/research/fuel-for-thought/","accessed":{"date-parts":[["2026",3,16]]}}}],"schema":"https://github.com/citation-style-language/schema/raw/master/csl-citation.json"} </w:instrText>
      </w:r>
      <w:r>
        <w:fldChar w:fldCharType="separate"/>
      </w:r>
      <w:r>
        <w:rPr>
          <w:rFonts w:cs="Times New Roman"/>
        </w:rPr>
        <w:t>[25]</w:t>
      </w:r>
      <w:r>
        <w:fldChar w:fldCharType="end"/>
      </w:r>
      <w:r>
        <w:t>. Συνεπώς, τα καύσιμα χωρίς άνθρακα, ιδίως το υδρογόνο (H</w:t>
      </w:r>
      <w:r>
        <w:rPr>
          <w:vertAlign w:val="subscript"/>
        </w:rPr>
        <w:t>2</w:t>
      </w:r>
      <w:r>
        <w:t>) και η αμμωνία (NH</w:t>
      </w:r>
      <w:r>
        <w:rPr>
          <w:vertAlign w:val="subscript"/>
        </w:rPr>
        <w:t>3</w:t>
      </w:r>
      <w:r>
        <w:t>), φαίνεται να αποτελούν τις πλέον υποσχόμενες λύσεις για τον στόχο του IMO για τη μείωση των εκπομπών αερίων θερμοκηπίου έως το 2050</w:t>
      </w:r>
      <w:r w:rsidR="00336EF3">
        <w:t xml:space="preserve"> και  για την </w:t>
      </w:r>
      <w:proofErr w:type="spellStart"/>
      <w:r w:rsidR="00336EF3">
        <w:t>απανθρακοποίηση</w:t>
      </w:r>
      <w:proofErr w:type="spellEnd"/>
      <w:r w:rsidR="00336EF3">
        <w:t xml:space="preserve"> του τομέα των μεταφορών</w:t>
      </w:r>
      <w:r>
        <w:t xml:space="preserve"> </w:t>
      </w:r>
      <w:r>
        <w:fldChar w:fldCharType="begin"/>
      </w:r>
      <w:r>
        <w:instrText xml:space="preserve"> ADDIN ZOTERO_ITEM CSL_CITATION {"citationID":"uc0wcQn3","properties":{"unsorted":false,"formattedCitation":"[16]","plainCitation":"[16]","noteIndex":0},"citationItems":[{"id":60,"uris":["http://zotero.org/users/19904160/items/4K5XXBT7"],"itemData":{"id":60,"type":"article-journal","abstract":"The shipping industry is becoming increasingly aware of its environmental responsibilities in the long-term. In 2018, the International Maritime Organization (IMO) pledged to reduce greenhouse gas (GHG) emissions by at least 50% by the year 2050 as compared with a baseline value from 2008. Ammonia has been regarded as one of the potential carbon-free fuels for ships based on these environmental issues. In this paper, we propose four propulsion systems for a 2500 Twenty-foot Equivalent Unit (TEU) container feeder ship. All of the proposed systems are fueled by ammonia; however, different power systems are used: main engine, generators, polymer electrolyte membrane fuel cell (PEMFC), and solid oxide fuel cell (SOFC). Further, these systems are compared to the conventional main engine propulsion system that is fueled by heavy fuel oil, with a focus on the economic and environmental perspectives. By comparing the conventional and proposed systems, it is shown that ammonia can be a carbon-free fuel for ships. Moreover, among the proposed systems, the SOFC power system is the most eco-friendly alternative (up to 92.1%), even though it requires a high lifecycle cost than the others. Although this study has some limitations and assumptions, the results indicate a meaningful approach toward solving GHG problems in the maritime industry.","container-title":"Journal of Marine Science and Engineering","DOI":"10.3390/jmse8030183","ISSN":"2077-1312","issue":"3","journalAbbreviation":"JMSE","language":"en","page":"183","source":"DOI.org (Crossref)","title":"A Preliminary Study on an Alternative Ship Propulsion System Fueled by Ammonia: Environmental and Economic Assessments","title-short":"A Preliminary Study on an Alternative Ship Propulsion System Fueled by Ammonia","volume":"8","author":[{"family":"Kim","given":"Kyunghwa"},{"family":"Roh","given":"Gilltae"},{"family":"Kim","given":"Wook"},{"family":"Chun","given":"Kangwoo"}],"issued":{"date-parts":[["2020",3,7]]}}}],"schema":"https://github.com/citation-style-language/schema/raw/master/csl-citation.json"} </w:instrText>
      </w:r>
      <w:r>
        <w:fldChar w:fldCharType="separate"/>
      </w:r>
      <w:r>
        <w:rPr>
          <w:rFonts w:cs="Times New Roman"/>
        </w:rPr>
        <w:t>[16]</w:t>
      </w:r>
      <w:r>
        <w:fldChar w:fldCharType="end"/>
      </w:r>
      <w:r w:rsidR="00336EF3">
        <w:t>,</w:t>
      </w:r>
      <w:r w:rsidR="00336EF3" w:rsidRPr="00336EF3">
        <w:t xml:space="preserve"> </w:t>
      </w:r>
      <w:r w:rsidR="00336EF3">
        <w:fldChar w:fldCharType="begin"/>
      </w:r>
      <w:r w:rsidR="00336EF3">
        <w:instrText xml:space="preserve"> ADDIN ZOTERO_ITEM CSL_CITATION {"citationID":"iUZZxy8s","properties":{"unsorted":false,"formattedCitation":"[17]","plainCitation":"[17]","noteIndex":0},"citationItems":[{"id":68,"uris":["http://zotero.org/users/19904160/items/FX7EJNDX"],"itemData":{"id":68,"type":"article-journal","abstract":"Arguably, one of the most important issues the world is facing currently is climate change. At the current rate of fossil fuel consumption, the world is heading towards extreme levels of global temperature rise if immediate actions are not taken. Transforming the current energy system from one largely based on fossil fuels to a carbon-neutral one requires unprecedented speed. Based on the current state of development, direct electrification of the future energy system alone is technically challenging and not enough, especially in hard-to-abate sectors like heavy industry, road trucking, international shipping, and aviation. This leaves a considerable demand for alternative carbon-neutral fuels such as green ammonia and hydrogen and renewable methanol. From this perspective, we discuss the overarching roles of each fuel in reaching net zero emission within the next three decades. The challenges and future directions associated with the fuels conclude the current perspective paper.","container-title":"Energies","DOI":"10.3390/en16010280","ISSN":"1996-1073","issue":"1","journalAbbreviation":"Energies","language":"en","page":"280","source":"DOI.org (Crossref)","title":"A Perspective on the Overarching Role of Hydrogen, Ammonia, and Methanol Carbon-Neutral Fuels towards Net Zero Emission in the Next Three Decades","volume":"16","author":[{"family":"Liu","given":"Haifeng"},{"family":"Ampah","given":"Jeffrey Dankwa"},{"family":"Zhao","given":"Yang"},{"family":"Sun","given":"Xingyu"},{"family":"Xu","given":"Linxun"},{"family":"Jiang","given":"Xueli"},{"family":"Wang","given":"Shuaishuai"}],"issued":{"date-parts":[["2022",12,27]]}}}],"schema":"https://github.com/citation-style-language/schema/raw/master/csl-citation.json"} </w:instrText>
      </w:r>
      <w:r w:rsidR="00336EF3">
        <w:fldChar w:fldCharType="separate"/>
      </w:r>
      <w:r w:rsidR="00336EF3">
        <w:rPr>
          <w:rFonts w:cs="Times New Roman"/>
        </w:rPr>
        <w:t>[17]</w:t>
      </w:r>
      <w:r w:rsidR="00336EF3">
        <w:fldChar w:fldCharType="end"/>
      </w:r>
      <w:r>
        <w:t xml:space="preserve">. Ειδικότερα, η πράσινη αμμωνία αποτελεί ιδιαίτερα εφικτή λύση για την </w:t>
      </w:r>
      <w:proofErr w:type="spellStart"/>
      <w:r>
        <w:t>απανθρακοποίηση</w:t>
      </w:r>
      <w:proofErr w:type="spellEnd"/>
      <w:r>
        <w:t xml:space="preserve"> της διεθνούς ναυτιλίας, καθώς παράγεται με χρήση ανανεώσιμης ηλεκτρικής ενέργειας, χωρίς εκπομπές αερίων θερμοκηπίου σε κανένα στάδιο του κύκλου ζωής της. Το Διεθνές Φόρουμ Μεταφορών (International Transport </w:t>
      </w:r>
      <w:proofErr w:type="spellStart"/>
      <w:r>
        <w:t>Forum</w:t>
      </w:r>
      <w:proofErr w:type="spellEnd"/>
      <w:r>
        <w:t xml:space="preserve">, ITF) εκτιμά ότι, στην περίπτωση μείωσης του συντελεστή άνθρακα κατά 80%, το υδρογόνο και η αμμωνία θα καλύπτουν περίπου το 70% της αγοράς καυσίμων. Η αμμωνία έχει επίσης σχετικά χαμηλότερο κόστος σε σύγκριση με τις περισσότερες εναλλακτικές λύσεις, ενώ η υγροποίησή της προσφέρει υψηλότερη ογκομετρική ενεργειακή πυκνότητα από το υγροποιημένο υδρογόνο και απαιτεί λιγότερο πολύπλοκα συστήματα επί του πλοίου. Συγκεκριμένα, η αμμωνία μπορεί να υγροποιηθεί σε περίπου 25°C, ενώ το υδρογόνο απαιτεί εξαιρετικά χαμηλές θερμοκρασίες, περίπου −253°C, γεγονός που οδηγεί σε σημαντικά υψηλότερο κόστος επί του πλοίου. Το κόστος της αμμωνίας ανά μονάδα αποθηκευμένης ενέργειας είναι περίπου τρεις φορές χαμηλότερο από εκείνο του υδρογόνου. Όπως και το υδρογόνο, μπορεί να λειτουργήσει ως καθαρός φορέας και μέσο αποθήκευσης ενέργειας, καθώς μπορεί να καεί με περιβαλλοντικά ακίνδυνο τρόπο, παράγοντας κυρίως άζωτο και νερό </w:t>
      </w:r>
      <w:r>
        <w:fldChar w:fldCharType="begin"/>
      </w:r>
      <w:r>
        <w:instrText xml:space="preserve"> ADDIN ZOTERO_ITEM CSL_CITATION {"citationID":"zf4mMK5O","properties":{"unsorted":false,"formattedCitation":"[19]","plainCitation":"[19]","noteIndex":0},"citationItems":[{"id":78,"uris":["http://zotero.org/users/19904160/items/PGQN3TSG"],"itemData":{"id":78,"type":"article-journal","abstract":"In this study, ammonia is identiﬁed as a sustainable fuel for mobile and remote applications. Similar to hydrogen, ammonia is a synthetic product that can be obtained either from fossil fuels, biomass, or other renewable sources. Some advantages of ammonia with respect to hydrogen are less expensive cost per unit of stored energy, higher volumetric energy density that is comparable with that of gasoline, easier production, handling and distribution with the existent infrastructure, and better commercial viability. Here, the possible ways to use ammonia as a sustainable fuel in internal combustion engines and fuelcells are discussed and analysed based on some thermodynamic performance models through efﬁciency and effectiveness parameters. The refrigeration effect of ammonia, which is another advantage, is also included in the efﬁciency calculations. The study suggests that the most efﬁcient system is based on fuelcells which provide simultaneously power, heating and cooling and its only exhaust consists of water and nitrogen. If the cooling effect is taken into consideration, the system’s effectiveness reaches 46% implying that a medium size car ranges over 500 km with 50 l fuel at a cost below $2 per 100 km. The cooling power represents about 7.2% from the engine power, being thus a valuable side beneﬁt of ammonia’s presence on-board.","container-title":"Journal of Power Sources","DOI":"10.1016/j.jpowsour.2008.02.097","ISSN":"03787753","issue":"1","journalAbbreviation":"Journal of Power Sources","language":"en","license":"https://www.elsevier.com/tdm/userlicense/1.0/","page":"459-465","source":"DOI.org (Crossref)","title":"Using ammonia as a sustainable fuel","volume":"185","author":[{"family":"Zamfirescu","given":"C."},{"family":"Dincer","given":"I."}],"issued":{"date-parts":[["2008",10]]}}}],"schema":"https://github.com/citation-style-language/schema/raw/master/csl-citation.json"} </w:instrText>
      </w:r>
      <w:r>
        <w:fldChar w:fldCharType="separate"/>
      </w:r>
      <w:r>
        <w:rPr>
          <w:rFonts w:cs="Times New Roman"/>
        </w:rPr>
        <w:t>[19]</w:t>
      </w:r>
      <w:r>
        <w:fldChar w:fldCharType="end"/>
      </w:r>
      <w:r>
        <w:t>.</w:t>
      </w:r>
    </w:p>
    <w:p w14:paraId="27BAD185" w14:textId="2C049535" w:rsidR="00EE6E9F" w:rsidRPr="00822C2D" w:rsidRDefault="00450D0A" w:rsidP="00E70D1B">
      <w:pPr>
        <w:spacing w:line="360" w:lineRule="auto"/>
        <w:ind w:firstLine="576"/>
        <w:jc w:val="both"/>
      </w:pPr>
      <w:r>
        <w:t xml:space="preserve">Πέρα από αυτές τις εναλλακτικές λύσεις, άλλες πιθανές πηγές ενέργειας για την πρόωση των πλοίων είναι η </w:t>
      </w:r>
      <w:proofErr w:type="spellStart"/>
      <w:r>
        <w:t>μεθανόλη</w:t>
      </w:r>
      <w:proofErr w:type="spellEnd"/>
      <w:r>
        <w:t xml:space="preserve">, το υγροποιημένο φυσικό αέριο (LNG), το συνθετικό φυσικό αέριο (SNG), τα </w:t>
      </w:r>
      <w:proofErr w:type="spellStart"/>
      <w:r>
        <w:t>βιοκαύσιμα</w:t>
      </w:r>
      <w:proofErr w:type="spellEnd"/>
      <w:r>
        <w:t xml:space="preserve">, το υγραέριο (LPG), το συνθετικό ντίζελ, καθώς και η ηλιακή και η αιολική ενέργεια. Η </w:t>
      </w:r>
      <w:proofErr w:type="spellStart"/>
      <w:r>
        <w:t>μεθανόλη</w:t>
      </w:r>
      <w:proofErr w:type="spellEnd"/>
      <w:r>
        <w:t xml:space="preserve"> είναι ένα αλκοολικό καύσιμο καθαρής καύσης, το οποίο προσελκύει ολοένα μεγαλύτερο ενδιαφέρον ως εναλλακτικό ναυτιλιακό καύσιμο, τόσο για μετασκευές όσο και για νεότευκτα πλοία. Προσφέρει σχετικά ευκολότερη αποθήκευση και διαχείριση σε σύγκριση με πολλές άλλες εναλλακτικές λύσεις και μπορεί επίσης να παραχθεί από ανανεώσιμες πηγές. Ωστόσο, η διαθεσιμότητά της παραμένει περιορισμένη, και η ανάπτυξη εφοδιαστικών αλυσίδων πράσινης </w:t>
      </w:r>
      <w:proofErr w:type="spellStart"/>
      <w:r>
        <w:t>μεθανόλης</w:t>
      </w:r>
      <w:proofErr w:type="spellEnd"/>
      <w:r>
        <w:t xml:space="preserve"> είναι απαραίτητη για την ευρύτερη υιοθέτησή της στον ναυτιλιακό τομέα. Όταν χρησιμοποιείται ως καύσιμο μηχανών, η </w:t>
      </w:r>
      <w:proofErr w:type="spellStart"/>
      <w:r>
        <w:t>μεθανόλη</w:t>
      </w:r>
      <w:proofErr w:type="spellEnd"/>
      <w:r>
        <w:t xml:space="preserve"> οδηγεί σε χαμηλές εκπομπές και χαμηλές περιβαλλοντικές επιπτώσεις</w:t>
      </w:r>
      <w:r w:rsidR="00C0159A">
        <w:t xml:space="preserve"> </w:t>
      </w:r>
      <w:r>
        <w:fldChar w:fldCharType="begin"/>
      </w:r>
      <w:r>
        <w:instrText xml:space="preserve"> ADDIN ZOTERO_ITEM CSL_CITATION {"citationID":"HcYsPI76","properties":{"unsorted":false,"formattedCitation":"[24]","plainCitation":"[24]","noteIndex":0},"citationItems":[{"id":70,"uris":["http://zotero.org/users/19904160/items/QZVZWU7T"],"itemData":{"id":70,"type":"post-weblog","abstract":"Alternative fuels are a hot topic in shipping, but unlike past shifts, today’s energy transition is far more complex for owners and operators.","language":"en-US","note":"section: News","title":"Alternative fuels in shipping: a guide to green potential | bound4blue","title-short":"Alternative fuels in shipping","URL":"https://bound4blue.com/alternative-fuels-in-shipping-the-guide/","accessed":{"date-parts":[["2026",3,16]]},"issued":{"date-parts":[["2025",6,17]]}}}],"schema":"https://github.com/citation-style-language/schema/raw/master/csl-citation.json"} </w:instrText>
      </w:r>
      <w:r>
        <w:fldChar w:fldCharType="separate"/>
      </w:r>
      <w:r>
        <w:rPr>
          <w:rFonts w:cs="Times New Roman"/>
        </w:rPr>
        <w:t>[24]</w:t>
      </w:r>
      <w:r>
        <w:fldChar w:fldCharType="end"/>
      </w:r>
      <w:r w:rsidR="00C0159A">
        <w:t>,</w:t>
      </w:r>
      <w:r w:rsidR="00C0159A" w:rsidRPr="00C0159A">
        <w:t xml:space="preserve"> </w:t>
      </w:r>
      <w:r w:rsidR="00C0159A">
        <w:fldChar w:fldCharType="begin"/>
      </w:r>
      <w:r w:rsidR="00C0159A">
        <w:instrText xml:space="preserve"> ADDIN ZOTERO_ITEM CSL_CITATION {"citationID":"adOId7EE","properties":{"unsorted":false,"formattedCitation":"[26]","plainCitation":"[26]","noteIndex":0},"citationItems":[{"id":73,"uris":["http://zotero.org/users/19904160/items/23KQUNNU"],"itemData":{"id":73,"type":"article-journal","abstract":"Maritime shipping is essential in global trade. The shipping industry uses fossil fuel with signiﬁcant environmental impact as a result and a transition to renewable fuels may be part of the solution to reduce emissions. A fuel transition needs to be understood at all stages of the supply chain, ranging from feedstock to use in ships’ engines. The purpose of this paper is to do a synthesis of literature to provide an overview of main challenges and opportunities along potential supply chains of renewable methanol for maritime shipping, with a focus on bio-methanol. It is shown that renewable methanol is a technically viable option to reduce emissions from shipping and there are no major challenges with potential supply chains. Minor economic barriers that currently exist have the potential to be overcome with strengthening of environmental targets for shipping or if fuel oil prices revert to higher levels as seen previously.","container-title":"Renewable and Sustainable Energy Reviews","DOI":"10.1016/j.rser.2018.06.058","ISSN":"13640321","journalAbbreviation":"Renewable and Sustainable Energy Reviews","language":"en","page":"1217-1228","source":"DOI.org (Crossref)","title":"Renewable methanol as a fuel for the shipping industry","volume":"94","author":[{"family":"Svanberg","given":"Martin"},{"family":"Ellis","given":"Joanne"},{"family":"Lundgren","given":"Joakim"},{"family":"Landälv","given":"Ingvar"}],"issued":{"date-parts":[["2018",10]]}}}],"schema":"https://github.com/citation-style-language/schema/raw/master/csl-citation.json"} </w:instrText>
      </w:r>
      <w:r w:rsidR="00C0159A">
        <w:fldChar w:fldCharType="separate"/>
      </w:r>
      <w:r w:rsidR="00C0159A">
        <w:rPr>
          <w:rFonts w:cs="Times New Roman"/>
        </w:rPr>
        <w:t>[26]</w:t>
      </w:r>
      <w:r w:rsidR="00C0159A">
        <w:fldChar w:fldCharType="end"/>
      </w:r>
      <w:r>
        <w:t xml:space="preserve">. Το LNG θεωρείται ευρέως μεταβατικό ναυτιλιακό καύσιμο, λόγω των χαμηλότερων εκπομπών </w:t>
      </w:r>
      <w:r>
        <w:lastRenderedPageBreak/>
        <w:t>CO₂ σε σύγκριση με το βαρύ μαζούτ.</w:t>
      </w:r>
      <w:r>
        <w:rPr>
          <w:rFonts w:ascii="Georgia" w:hAnsi="Georgia"/>
        </w:rPr>
        <w:t xml:space="preserve"> </w:t>
      </w:r>
      <w:r>
        <w:t xml:space="preserve">Επιπλέον, οι εκπομπές διοξειδίου του άνθρακα κατά την καύση είναι περίπου 20% χαμηλότερες από εκείνες του συμβατικού HFO, γεγονός που προσφέρει ορισμένα πλεονεκτήματα όσον αφορά την αντιμετώπιση της κλιματικής αλλαγής </w:t>
      </w:r>
      <w:r>
        <w:fldChar w:fldCharType="begin"/>
      </w:r>
      <w:r>
        <w:instrText xml:space="preserve"> ADDIN ZOTERO_ITEM CSL_CITATION {"citationID":"pNT3SDMv","properties":{"unsorted":false,"formattedCitation":"[27]","plainCitation":"[27]","noteIndex":0},"citationItems":[{"id":75,"uris":["http://zotero.org/users/19904160/items/JIG26K3N"],"itemData":{"id":75,"type":"article-journal","abstract":"This study focuses on the thermal design of a reformer that produces hydrogen by extracting a portion of the boiloff gas generated from the fuel tank of an LNG-fueled ship. The reformer is a subsystem of a reformer-fuel cell system and is designed as a shell-and-tube heat exchanger, with a fixed lump of catalyst particles within the tubes and a bundle of these tubes installed within the shell. Designing the reformer requires determining the heat transfer coefficients and pressure drops inside and outside the tubes. For the thermal design of the particle bed in the tube, the heat transfer coefficient on the tube side is calculated using the correlation proposed by Wakao et al., which is widely used in the design of heat exchangers with spherical or cylindrical particle beds. The pressure drop across the particle bed packed in the tube is calculated using the correlation reported by Erdim et al. Based on the thermal design, the length of the reformer is predicted to be 1.72 m when the temperature difference between the shell-side outlet and tube-side inlet is approximately 70 ℃. This estimate aligns with the length (approximately 1.7 m) obtained from the demethanation reaction model of the reformer. The reforming process achieves a hydrogen yield of approximately 43 % with a methane conversion rate of approximately 98 %.","container-title":"Thermal Science and Engineering Progress","DOI":"10.1016/j.tsep.2026.104484","ISSN":"24519049","journalAbbreviation":"Thermal Science and Engineering Progress","language":"en","page":"104484","source":"DOI.org (Crossref)","title":"Thermal design of the reformer in reformer-fuel cell systems for onboard hydrogen production in LNG-fueled ships","volume":"69","author":[{"family":"Hwang","given":"Da-Hye"},{"family":"Choi","given":"Yong-Seok"},{"family":"Lim","given":"Tae-Woo"}],"issued":{"date-parts":[["2026",1]]}}}],"schema":"https://github.com/citation-style-language/schema/raw/master/csl-citation.json"} </w:instrText>
      </w:r>
      <w:r>
        <w:fldChar w:fldCharType="separate"/>
      </w:r>
      <w:r>
        <w:rPr>
          <w:rFonts w:cs="Times New Roman"/>
        </w:rPr>
        <w:t>[27]</w:t>
      </w:r>
      <w:r>
        <w:fldChar w:fldCharType="end"/>
      </w:r>
      <w:r>
        <w:t>. Επωφελείται από σχετικά ανεπτυγμένη υποδομή και ευρεία διαθεσιμότητα· ωστόσο, η διαφυγή μεθανίου (</w:t>
      </w:r>
      <w:proofErr w:type="spellStart"/>
      <w:r>
        <w:t>methane</w:t>
      </w:r>
      <w:proofErr w:type="spellEnd"/>
      <w:r>
        <w:t xml:space="preserve"> </w:t>
      </w:r>
      <w:proofErr w:type="spellStart"/>
      <w:r>
        <w:t>slip</w:t>
      </w:r>
      <w:proofErr w:type="spellEnd"/>
      <w:r>
        <w:t xml:space="preserve">) από τις μηχανές και η ορυκτή προέλευσή του εγείρουν ανησυχίες για τη μακροπρόθεσμη βιωσιμότητά του </w:t>
      </w:r>
      <w:r>
        <w:fldChar w:fldCharType="begin"/>
      </w:r>
      <w:r>
        <w:instrText xml:space="preserve"> ADDIN ZOTERO_ITEM CSL_CITATION {"citationID":"EOQl1s0H","properties":{"unsorted":false,"formattedCitation":"[24]","plainCitation":"[24]","noteIndex":0},"citationItems":[{"id":70,"uris":["http://zotero.org/users/19904160/items/QZVZWU7T"],"itemData":{"id":70,"type":"post-weblog","abstract":"Alternative fuels are a hot topic in shipping, but unlike past shifts, today’s energy transition is far more complex for owners and operators.","language":"en-US","note":"section: News","title":"Alternative fuels in shipping: a guide to green potential | bound4blue","title-short":"Alternative fuels in shipping","URL":"https://bound4blue.com/alternative-fuels-in-shipping-the-guide/","accessed":{"date-parts":[["2026",3,16]]},"issued":{"date-parts":[["2025",6,17]]}}}],"schema":"https://github.com/citation-style-language/schema/raw/master/csl-citation.json"} </w:instrText>
      </w:r>
      <w:r>
        <w:fldChar w:fldCharType="separate"/>
      </w:r>
      <w:r>
        <w:rPr>
          <w:rFonts w:cs="Times New Roman"/>
        </w:rPr>
        <w:t>[24]</w:t>
      </w:r>
      <w:r>
        <w:fldChar w:fldCharType="end"/>
      </w:r>
      <w:r>
        <w:t xml:space="preserve">. Το συνθετικό φυσικό αέριο (SNG), που παράγεται από ανανεώσιμες πηγές, έχει ιδιότητες παρόμοιες με εκείνες του LNG. Αν και προσφέρει δυνητικά ουδετερότητα άνθρακα, η παραγωγή του παραμένει </w:t>
      </w:r>
      <w:proofErr w:type="spellStart"/>
      <w:r>
        <w:t>ενεργοβόρα</w:t>
      </w:r>
      <w:proofErr w:type="spellEnd"/>
      <w:r>
        <w:t xml:space="preserve">, δαπανηρή και όχι ακόμη </w:t>
      </w:r>
      <w:proofErr w:type="spellStart"/>
      <w:r>
        <w:t>κλιμακώσιμη</w:t>
      </w:r>
      <w:proofErr w:type="spellEnd"/>
      <w:r>
        <w:t xml:space="preserve"> για ευρεία χρήση. Τα </w:t>
      </w:r>
      <w:proofErr w:type="spellStart"/>
      <w:r>
        <w:t>βιοκαύσιμα</w:t>
      </w:r>
      <w:proofErr w:type="spellEnd"/>
      <w:r>
        <w:t>, που προέρχονται από βιομάζα, μπορούν να μειώσουν σημαντικά τις εκπομπές και συχνά απαιτούν ελάχιστες τροποποιήσεις στις μηχανές, αν και η κλιμάκωση της παραγωγής βιώσιμων πρώτων υλών παραμένει βασική πρόκληση. Το υγραέριο (</w:t>
      </w:r>
      <w:proofErr w:type="spellStart"/>
      <w:r>
        <w:t>Liquefied</w:t>
      </w:r>
      <w:proofErr w:type="spellEnd"/>
      <w:r>
        <w:t xml:space="preserve"> Petroleum </w:t>
      </w:r>
      <w:proofErr w:type="spellStart"/>
      <w:r>
        <w:t>Gas</w:t>
      </w:r>
      <w:proofErr w:type="spellEnd"/>
      <w:r>
        <w:t xml:space="preserve">, LPG) καίγεται καθαρότερα από το βαρύ μαζούτ και αποκτά αυξανόμενο ρόλο στον ναυτιλιακό τομέα· λόγω της ορυκτής του προέλευσης, θεωρείται ευρέως μεταβατική και όχι μακροπρόθεσμη λύση. Το συνθετικό ντίζελ, που παράγεται από ανανεώσιμες πηγές, είναι συμβατό με τις υφιστάμενες μηχανές· όπως και τα άλλα συνθετικά καύσιμα, αντιμετωπίζει προκλήσεις που σχετίζονται με το κόστος και την </w:t>
      </w:r>
      <w:proofErr w:type="spellStart"/>
      <w:r>
        <w:t>κλιμακωσιμότητα</w:t>
      </w:r>
      <w:proofErr w:type="spellEnd"/>
      <w:r>
        <w:t xml:space="preserve"> </w:t>
      </w:r>
      <w:r>
        <w:fldChar w:fldCharType="begin"/>
      </w:r>
      <w:r>
        <w:instrText xml:space="preserve"> ADDIN ZOTERO_ITEM CSL_CITATION {"citationID":"kv7sNGCM","properties":{"unsorted":false,"formattedCitation":"[24]","plainCitation":"[24]","noteIndex":0},"citationItems":[{"id":70,"uris":["http://zotero.org/users/19904160/items/QZVZWU7T"],"itemData":{"id":70,"type":"post-weblog","abstract":"Alternative fuels are a hot topic in shipping, but unlike past shifts, today’s energy transition is far more complex for owners and operators.","language":"en-US","note":"section: News","title":"Alternative fuels in shipping: a guide to green potential | bound4blue","title-short":"Alternative fuels in shipping","URL":"https://bound4blue.com/alternative-fuels-in-shipping-the-guide/","accessed":{"date-parts":[["2026",3,16]]},"issued":{"date-parts":[["2025",6,17]]}}}],"schema":"https://github.com/citation-style-language/schema/raw/master/csl-citation.json"} </w:instrText>
      </w:r>
      <w:r>
        <w:fldChar w:fldCharType="separate"/>
      </w:r>
      <w:r>
        <w:rPr>
          <w:rFonts w:cs="Times New Roman"/>
        </w:rPr>
        <w:t>[24]</w:t>
      </w:r>
      <w:r>
        <w:fldChar w:fldCharType="end"/>
      </w:r>
      <w:r>
        <w:t xml:space="preserve">. Το συνθετικό φυσικό αέριο (SNG) και το υγραέριο (LPG) δεν περιλαμβάνονται ρητά στην ανάλυση που ακολουθεί, καθώς αξιόπιστα δεδομένα τιμών ανά περιοχή για τα καύσιμα αυτά δεν είναι σταθερά διαθέσιμα στο σύνολο δεδομένων της </w:t>
      </w:r>
      <w:proofErr w:type="spellStart"/>
      <w:r>
        <w:t>Argus</w:t>
      </w:r>
      <w:proofErr w:type="spellEnd"/>
      <w:r>
        <w:t xml:space="preserve">. Ειδικότερα, το SNG, αν και εννοιολογικά παρόμοιο με το LNG, δεν διαθέτει ακόμη επαρκώς ανεπτυγμένη ή ρευστή αγορά ναυτιλιακών καυσίμων που να επιτρέπει ουσιαστική συγκριτική αξιολόγηση τιμών. Παρομοίως, το LPG, παρά τις δυνατότητές του ως μεταβατικό καύσιμο, δεν εκπροσωπείται ευρέως στις αξιολογήσεις τιμών εφοδιασμού στους μεγάλους κόμβους. Αντίθετα, οι τιμές του LNG που παρουσιάζονται στην ανάλυση μπορούν να θεωρηθούν το πλέον αντιπροσωπευτικό συμβατικό ισοδύναμο του SNG, δεδομένων των παρόμοιων ιδιοτήτων και εφαρμογών τους. Επομένως, η απουσία του SNG και του LPG αντανακλά περιορισμούς ως προς την ωριμότητα της αγοράς και τη διαθεσιμότητα δεδομένων και όχι τεχνική αδυναμία εφαρμογής τους. Οι σημερινές εφαρμογές ανανεώσιμης ενέργειας στη ναυτιλία περιλαμβάνουν την ηλιακή ενέργεια, το υδρογόνο, τις κυψέλες καυσίμου και την αιολική ενέργεια. Βασικό πλεονέκτημα της αιολικής και της ηλιακής ενέργειας είναι η φυσική τους διαθεσιμότητα, καθώς, σε αντίθεση με το υδρογόνο και τις κυψέλες </w:t>
      </w:r>
      <w:r>
        <w:lastRenderedPageBreak/>
        <w:t xml:space="preserve">καυσίμου, δεν απαιτούν </w:t>
      </w:r>
      <w:proofErr w:type="spellStart"/>
      <w:r>
        <w:t>ενεργοβόρες</w:t>
      </w:r>
      <w:proofErr w:type="spellEnd"/>
      <w:r>
        <w:t xml:space="preserve"> διεργασίες παραγωγής, αποθήκευσης ή μετατροπής. Παραδοσιακά, οι ανανεώσιμες αυτές πηγές χρησιμοποιούνται κυρίως για την παραγωγή ηλεκτρικής ενέργειας επί του πλοίου, ως βοηθητική ισχύς </w:t>
      </w:r>
      <w:r>
        <w:fldChar w:fldCharType="begin"/>
      </w:r>
      <w:r>
        <w:instrText xml:space="preserve"> ADDIN ZOTERO_ITEM CSL_CITATION {"citationID":"tY3e1UQT","properties":{"unsorted":false,"formattedCitation":"[28]","plainCitation":"[28]","noteIndex":0},"citationItems":[{"id":110,"uris":["http://zotero.org/users/19904160/items/WIKGW9HP"],"itemData":{"id":110,"type":"article-journal","container-title":"Ocean","DOI":"10.26599/OCEAN.2026.9470019","ISSN":"3008-1203","language":"en","source":"DOI.org (Crossref)","title":"Wind-assisted propulsion systems for green shipping: A techno-economic review","title-short":"Wind-assisted propulsion systems for green shipping","URL":"https://www.sciopen.com/article/10.26599/OCEAN.2026.9470019","author":[{"family":"Zhang","given":"Wenzhe"},{"family":"Jiang","given":"Zhiyu"},{"family":"Calderon-Sanchez","given":"Javier"},{"family":"Martínez","given":"Lisa"},{"family":"Saettone","given":"Simone"},{"family":"Galdós-Lindao","given":"H. Bill"},{"family":"Mas-Soler","given":"Jordi"}],"accessed":{"date-parts":[["2026",3,30]]},"issued":{"date-parts":[["2026",2]]}}}],"schema":"https://github.com/citation-style-language/schema/raw/master/csl-citation.json"} </w:instrText>
      </w:r>
      <w:r>
        <w:fldChar w:fldCharType="separate"/>
      </w:r>
      <w:r>
        <w:rPr>
          <w:rFonts w:cs="Times New Roman"/>
        </w:rPr>
        <w:t>[28]</w:t>
      </w:r>
      <w:r>
        <w:fldChar w:fldCharType="end"/>
      </w:r>
      <w:r>
        <w:t>.</w:t>
      </w:r>
    </w:p>
    <w:p w14:paraId="6A430B6E" w14:textId="1E6F5296" w:rsidR="00E4147F" w:rsidRPr="00822C2D" w:rsidRDefault="005E2967" w:rsidP="005E2967">
      <w:pPr>
        <w:spacing w:line="360" w:lineRule="auto"/>
        <w:jc w:val="both"/>
      </w:pPr>
      <w:r>
        <w:rPr>
          <w:noProof/>
        </w:rPr>
        <mc:AlternateContent>
          <mc:Choice Requires="wps">
            <w:drawing>
              <wp:anchor distT="0" distB="0" distL="114300" distR="114300" simplePos="0" relativeHeight="251658244" behindDoc="0" locked="0" layoutInCell="1" allowOverlap="1" wp14:anchorId="762D13DC" wp14:editId="13C76B49">
                <wp:simplePos x="0" y="0"/>
                <wp:positionH relativeFrom="margin">
                  <wp:align>center</wp:align>
                </wp:positionH>
                <wp:positionV relativeFrom="paragraph">
                  <wp:posOffset>3507740</wp:posOffset>
                </wp:positionV>
                <wp:extent cx="6508750" cy="198755"/>
                <wp:effectExtent l="0" t="0" r="6350" b="0"/>
                <wp:wrapSquare wrapText="bothSides"/>
                <wp:docPr id="1550609049" name="Πλαίσιο κειμένου 1"/>
                <wp:cNvGraphicFramePr/>
                <a:graphic xmlns:a="http://schemas.openxmlformats.org/drawingml/2006/main">
                  <a:graphicData uri="http://schemas.microsoft.com/office/word/2010/wordprocessingShape">
                    <wps:wsp>
                      <wps:cNvSpPr txBox="1"/>
                      <wps:spPr>
                        <a:xfrm>
                          <a:off x="0" y="0"/>
                          <a:ext cx="6508750" cy="198755"/>
                        </a:xfrm>
                        <a:prstGeom prst="rect">
                          <a:avLst/>
                        </a:prstGeom>
                        <a:solidFill>
                          <a:prstClr val="white"/>
                        </a:solidFill>
                        <a:ln>
                          <a:noFill/>
                        </a:ln>
                      </wps:spPr>
                      <wps:txbx>
                        <w:txbxContent>
                          <w:p w14:paraId="592A1BE3" w14:textId="45B10467" w:rsidR="00D65E12" w:rsidRPr="00D65E12" w:rsidRDefault="00F822A6" w:rsidP="00D65E12">
                            <w:pPr>
                              <w:pStyle w:val="af2"/>
                              <w:jc w:val="center"/>
                              <w:rPr>
                                <w:b/>
                                <w:bCs/>
                                <w:noProof/>
                              </w:rPr>
                            </w:pPr>
                            <w:bookmarkStart w:id="12" w:name="_Ref225249754"/>
                            <w:bookmarkStart w:id="13" w:name="_Toc243077678"/>
                            <w:bookmarkStart w:id="14" w:name="_Toc243355366"/>
                            <w:r>
                              <w:rPr>
                                <w:b/>
                                <w:bCs/>
                              </w:rPr>
                              <w:t>Εικόνα</w:t>
                            </w:r>
                            <w:r w:rsidR="00D65E12">
                              <w:rPr>
                                <w:b/>
                                <w:bCs/>
                              </w:rPr>
                              <w:t xml:space="preserve"> </w:t>
                            </w:r>
                            <w:r w:rsidR="00D65E12">
                              <w:rPr>
                                <w:b/>
                                <w:bCs/>
                              </w:rPr>
                              <w:fldChar w:fldCharType="begin"/>
                            </w:r>
                            <w:r w:rsidR="00D65E12">
                              <w:rPr>
                                <w:b/>
                                <w:bCs/>
                              </w:rPr>
                              <w:instrText xml:space="preserve"> SEQ Figure \* ARABIC </w:instrText>
                            </w:r>
                            <w:r w:rsidR="00D65E12">
                              <w:rPr>
                                <w:b/>
                                <w:bCs/>
                              </w:rPr>
                              <w:fldChar w:fldCharType="separate"/>
                            </w:r>
                            <w:r w:rsidR="00B0043E">
                              <w:rPr>
                                <w:b/>
                                <w:bCs/>
                                <w:noProof/>
                              </w:rPr>
                              <w:t>1</w:t>
                            </w:r>
                            <w:r w:rsidR="00D65E12">
                              <w:rPr>
                                <w:b/>
                                <w:bCs/>
                              </w:rPr>
                              <w:fldChar w:fldCharType="end"/>
                            </w:r>
                            <w:bookmarkEnd w:id="12"/>
                            <w:r w:rsidR="00D65E12">
                              <w:rPr>
                                <w:b/>
                                <w:bCs/>
                              </w:rPr>
                              <w:t>:</w:t>
                            </w:r>
                            <w:r w:rsidR="00D65E12">
                              <w:rPr>
                                <w:i w:val="0"/>
                                <w:iCs w:val="0"/>
                                <w:color w:val="auto"/>
                                <w:sz w:val="24"/>
                                <w:szCs w:val="24"/>
                              </w:rPr>
                              <w:t xml:space="preserve"> </w:t>
                            </w:r>
                            <w:r w:rsidR="00D65E12">
                              <w:rPr>
                                <w:b/>
                                <w:bCs/>
                              </w:rPr>
                              <w:t>Διαφορά τιμής των εναλλακτικών ναυτιλιακών καυσίμων έναντι του VLSFO στην περιοχή ARA</w:t>
                            </w:r>
                            <w:bookmarkEnd w:id="13"/>
                            <w:bookmarkEnd w:id="1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2D13DC" id="_x0000_t202" coordsize="21600,21600" o:spt="202" path="m,l,21600r21600,l21600,xe">
                <v:stroke joinstyle="miter"/>
                <v:path gradientshapeok="t" o:connecttype="rect"/>
              </v:shapetype>
              <v:shape id="Πλαίσιο κειμένου 1" o:spid="_x0000_s1026" type="#_x0000_t202" style="position:absolute;left:0;text-align:left;margin-left:0;margin-top:276.2pt;width:512.5pt;height:15.65pt;z-index:25165824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" stroked="f">
                <v:textbox inset="0,0,0,0">
                  <w:txbxContent>
                    <w:p w14:paraId="592A1BE3" w14:textId="45B10467" w:rsidR="00D65E12" w:rsidRPr="00D65E12" w:rsidRDefault="00F822A6" w:rsidP="00D65E12">
                      <w:pPr>
                        <w:pStyle w:val="af2"/>
                        <w:jc w:val="center"/>
                        <w:rPr>
                          <w:b/>
                          <w:bCs/>
                          <w:noProof/>
                        </w:rPr>
                      </w:pPr>
                      <w:bookmarkStart w:id="15" w:name="_Ref225249754"/>
                      <w:bookmarkStart w:id="16" w:name="_Toc243077678"/>
                      <w:bookmarkStart w:id="17" w:name="_Toc243355366"/>
                      <w:r>
                        <w:rPr>
                          <w:b/>
                          <w:bCs/>
                        </w:rPr>
                        <w:t>Εικόνα</w:t>
                      </w:r>
                      <w:r w:rsidR="00D65E12">
                        <w:rPr>
                          <w:b/>
                          <w:bCs/>
                        </w:rPr>
                        <w:t xml:space="preserve"> </w:t>
                      </w:r>
                      <w:r w:rsidR="00D65E12">
                        <w:rPr>
                          <w:b/>
                          <w:bCs/>
                        </w:rPr>
                        <w:fldChar w:fldCharType="begin"/>
                      </w:r>
                      <w:r w:rsidR="00D65E12">
                        <w:rPr>
                          <w:b/>
                          <w:bCs/>
                        </w:rPr>
                        <w:instrText xml:space="preserve"> SEQ Figure \* ARABIC </w:instrText>
                      </w:r>
                      <w:r w:rsidR="00D65E12">
                        <w:rPr>
                          <w:b/>
                          <w:bCs/>
                        </w:rPr>
                        <w:fldChar w:fldCharType="separate"/>
                      </w:r>
                      <w:r w:rsidR="00B0043E">
                        <w:rPr>
                          <w:b/>
                          <w:bCs/>
                          <w:noProof/>
                        </w:rPr>
                        <w:t>1</w:t>
                      </w:r>
                      <w:r w:rsidR="00D65E12">
                        <w:rPr>
                          <w:b/>
                          <w:bCs/>
                        </w:rPr>
                        <w:fldChar w:fldCharType="end"/>
                      </w:r>
                      <w:bookmarkEnd w:id="15"/>
                      <w:r w:rsidR="00D65E12">
                        <w:rPr>
                          <w:b/>
                          <w:bCs/>
                        </w:rPr>
                        <w:t>:</w:t>
                      </w:r>
                      <w:r w:rsidR="00D65E12">
                        <w:rPr>
                          <w:i w:val="0"/>
                          <w:iCs w:val="0"/>
                          <w:color w:val="auto"/>
                          <w:sz w:val="24"/>
                          <w:szCs w:val="24"/>
                        </w:rPr>
                        <w:t xml:space="preserve"> </w:t>
                      </w:r>
                      <w:r w:rsidR="00D65E12">
                        <w:rPr>
                          <w:b/>
                          <w:bCs/>
                        </w:rPr>
                        <w:t>Διαφορά τιμής των εναλλακτικών ναυτιλιακών καυσίμων έναντι του VLSFO στην περιοχή ARA</w:t>
                      </w:r>
                      <w:bookmarkEnd w:id="16"/>
                      <w:bookmarkEnd w:id="17"/>
                    </w:p>
                  </w:txbxContent>
                </v:textbox>
                <w10:wrap type="square" anchorx="margin"/>
              </v:shape>
            </w:pict>
          </mc:Fallback>
        </mc:AlternateContent>
      </w:r>
      <w:r w:rsidR="00F822A6">
        <w:rPr>
          <w:noProof/>
        </w:rPr>
        <w:drawing>
          <wp:anchor distT="0" distB="0" distL="114300" distR="114300" simplePos="0" relativeHeight="251658241" behindDoc="0" locked="0" layoutInCell="1" allowOverlap="1" wp14:anchorId="4551A547" wp14:editId="58D2730C">
            <wp:simplePos x="0" y="0"/>
            <wp:positionH relativeFrom="margin">
              <wp:align>right</wp:align>
            </wp:positionH>
            <wp:positionV relativeFrom="paragraph">
              <wp:posOffset>730250</wp:posOffset>
            </wp:positionV>
            <wp:extent cx="5086350" cy="2690495"/>
            <wp:effectExtent l="0" t="0" r="0" b="0"/>
            <wp:wrapSquare wrapText="bothSides"/>
            <wp:docPr id="54914256" name="Γράφημα 1">
              <a:extLst xmlns:a="http://schemas.openxmlformats.org/drawingml/2006/main">
                <a:ext uri="{FF2B5EF4-FFF2-40B4-BE49-F238E27FC236}">
                  <a16:creationId xmlns:a16="http://schemas.microsoft.com/office/drawing/2014/main" id="{64E92F73-2613-2FDC-013D-27166CEB7B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00301001">
        <w:t>Τον Ιανουάριο του 2026, οι τιμές των εναλλακτικών καυσίμων, εκφρασμένες σε $/t και συγκρινόμενες με το VLSFO, διαφέρουν ανά περιοχή· κατά μέσο όρο, διαμορφώνονται ως εξής.</w:t>
      </w:r>
    </w:p>
    <w:p w14:paraId="77E7A692" w14:textId="58F0FE41" w:rsidR="00E4147F" w:rsidRPr="00822C2D" w:rsidRDefault="00E4147F" w:rsidP="00310E1C">
      <w:pPr>
        <w:spacing w:line="360" w:lineRule="auto"/>
        <w:jc w:val="both"/>
      </w:pPr>
    </w:p>
    <w:p w14:paraId="657D8D55" w14:textId="77777777" w:rsidR="005E2967" w:rsidRDefault="00CC2353" w:rsidP="005E2967">
      <w:pPr>
        <w:spacing w:line="360" w:lineRule="auto"/>
        <w:jc w:val="both"/>
      </w:pPr>
      <w:r>
        <w:t xml:space="preserve">Στην περιοχή ARA (Άμστερνταμ–Ρότερνταμ–Αμβέρσα), </w:t>
      </w:r>
      <w:r>
        <w:fldChar w:fldCharType="begin"/>
      </w:r>
      <w:r>
        <w:instrText xml:space="preserve"> REF _Ref225249754 \h  \* MERGEFORMAT </w:instrText>
      </w:r>
      <w:r>
        <w:fldChar w:fldCharType="separate"/>
      </w:r>
      <w:r w:rsidR="00B0043E">
        <w:rPr>
          <w:b/>
          <w:bCs/>
        </w:rPr>
        <w:t>Εικόνα 1</w:t>
      </w:r>
      <w:r>
        <w:fldChar w:fldCharType="end"/>
      </w:r>
      <w:r>
        <w:t xml:space="preserve">, η οποία είναι αντιπροσωπευτική των ευρωπαϊκών τιμών, η </w:t>
      </w:r>
      <w:proofErr w:type="spellStart"/>
      <w:r>
        <w:t>μεθανόλη</w:t>
      </w:r>
      <w:proofErr w:type="spellEnd"/>
      <w:r>
        <w:t xml:space="preserve"> και το LNG αναδεικνύονται στις πλέον βιώσιμες βραχυπρόθεσμες εναλλακτικές λύσεις λόγω της σχετικά χαμηλής διαφοράς τιμής τους, ενώ το υδρογόνο και οι περισσότερες μορφές αμμωνίας (γκρι, μπλε και πράσινη) παραμένουν σημαντικά ακριβότερες. Τα </w:t>
      </w:r>
      <w:proofErr w:type="spellStart"/>
      <w:r>
        <w:t>βιοκαύσιμα</w:t>
      </w:r>
      <w:proofErr w:type="spellEnd"/>
      <w:r>
        <w:t xml:space="preserve">, συμπεριλαμβανομένων των μειγμάτων </w:t>
      </w:r>
      <w:proofErr w:type="spellStart"/>
      <w:r>
        <w:t>βιοντίζελ</w:t>
      </w:r>
      <w:proofErr w:type="spellEnd"/>
      <w:r>
        <w:t xml:space="preserve"> B30 (FAME και UCOME), παρουσιάζουν μέτρια διαφορά τιμής, γεγονός που τα καθιστά μεταβατική λύση η οποία μπορεί να εφαρμοστεί χωρίς σημαντικές τροποποιήσεις των μηχανών. Αντίστοιχα, το </w:t>
      </w:r>
      <w:proofErr w:type="spellStart"/>
      <w:r>
        <w:t>bio</w:t>
      </w:r>
      <w:proofErr w:type="spellEnd"/>
      <w:r>
        <w:t xml:space="preserve">-LNG έχει υψηλότερο κόστος σε σύγκριση με το συμβατικό LNG, γεγονός που αντανακλά το πρόσθετο κόστος των ανανεώσιμων πρώτων υλών. Η </w:t>
      </w:r>
      <w:proofErr w:type="spellStart"/>
      <w:r>
        <w:t>βιομεθανόλη</w:t>
      </w:r>
      <w:proofErr w:type="spellEnd"/>
      <w:r>
        <w:t xml:space="preserve">, παρότι αποτελεί εναλλακτική λύση χαμηλών εκπομπών άνθρακα, παρουσιάζει σημαντικά υψηλότερη διαφορά τιμής από τη συμβατική </w:t>
      </w:r>
      <w:proofErr w:type="spellStart"/>
      <w:r>
        <w:t>μεθανόλη</w:t>
      </w:r>
      <w:proofErr w:type="spellEnd"/>
      <w:r>
        <w:t xml:space="preserve">, γεγονός που δείχνει ότι η οικονομική της ανταγωνιστικότητα παραμένει περιορισμένη υπό τις τρέχουσες συνθήκες της αγοράς. Συνολικά, τα αποτελέσματα αναδεικνύουν μια σαφή ιεράρχηση κόστους, στην οποία τα συμβατικά και τα μεταβατικά καύσιμα (LNG, </w:t>
      </w:r>
      <w:proofErr w:type="spellStart"/>
      <w:r>
        <w:t>μεθανόλη</w:t>
      </w:r>
      <w:proofErr w:type="spellEnd"/>
      <w:r>
        <w:t xml:space="preserve"> και </w:t>
      </w:r>
      <w:r>
        <w:lastRenderedPageBreak/>
        <w:t xml:space="preserve">μείγματα </w:t>
      </w:r>
      <w:proofErr w:type="spellStart"/>
      <w:r>
        <w:t>βιοντίζελ</w:t>
      </w:r>
      <w:proofErr w:type="spellEnd"/>
      <w:r>
        <w:t xml:space="preserve">) είναι οικονομικά ελκυστικότερα βραχυπρόθεσμα, ενώ τα καύσιμα μηδενικού άνθρακα, όπως το υδρογόνο και η αμμωνία, παραμένουν απαγορευτικά </w:t>
      </w:r>
      <w:r w:rsidR="005E2967">
        <w:rPr>
          <w:noProof/>
        </w:rPr>
        <mc:AlternateContent>
          <mc:Choice Requires="wps">
            <w:drawing>
              <wp:anchor distT="0" distB="0" distL="114300" distR="114300" simplePos="0" relativeHeight="251658243" behindDoc="0" locked="0" layoutInCell="1" allowOverlap="1" wp14:anchorId="7DB7DDEC" wp14:editId="0149F247">
                <wp:simplePos x="0" y="0"/>
                <wp:positionH relativeFrom="margin">
                  <wp:align>center</wp:align>
                </wp:positionH>
                <wp:positionV relativeFrom="paragraph">
                  <wp:posOffset>3746500</wp:posOffset>
                </wp:positionV>
                <wp:extent cx="6062345" cy="312420"/>
                <wp:effectExtent l="0" t="0" r="0" b="0"/>
                <wp:wrapSquare wrapText="bothSides"/>
                <wp:docPr id="1311816484" name="Πλαίσιο κειμένου 1"/>
                <wp:cNvGraphicFramePr/>
                <a:graphic xmlns:a="http://schemas.openxmlformats.org/drawingml/2006/main">
                  <a:graphicData uri="http://schemas.microsoft.com/office/word/2010/wordprocessingShape">
                    <wps:wsp>
                      <wps:cNvSpPr txBox="1"/>
                      <wps:spPr>
                        <a:xfrm>
                          <a:off x="0" y="0"/>
                          <a:ext cx="6062345" cy="312420"/>
                        </a:xfrm>
                        <a:prstGeom prst="rect">
                          <a:avLst/>
                        </a:prstGeom>
                        <a:solidFill>
                          <a:prstClr val="white"/>
                        </a:solidFill>
                        <a:ln>
                          <a:noFill/>
                        </a:ln>
                      </wps:spPr>
                      <wps:txbx>
                        <w:txbxContent>
                          <w:p w14:paraId="2F8F7E4C" w14:textId="1E2E9E56" w:rsidR="001D25A6" w:rsidRPr="00D65E12" w:rsidRDefault="00F822A6" w:rsidP="001D25A6">
                            <w:pPr>
                              <w:pStyle w:val="af2"/>
                              <w:jc w:val="center"/>
                              <w:rPr>
                                <w:b/>
                                <w:bCs/>
                                <w:noProof/>
                              </w:rPr>
                            </w:pPr>
                            <w:bookmarkStart w:id="18" w:name="_Ref225249615"/>
                            <w:bookmarkStart w:id="19" w:name="_Toc243077679"/>
                            <w:bookmarkStart w:id="20" w:name="_Toc243355367"/>
                            <w:r>
                              <w:rPr>
                                <w:b/>
                                <w:bCs/>
                              </w:rPr>
                              <w:t>Εικόνα</w:t>
                            </w:r>
                            <w:r w:rsidR="001D25A6">
                              <w:rPr>
                                <w:b/>
                                <w:bCs/>
                              </w:rPr>
                              <w:t xml:space="preserve"> </w:t>
                            </w:r>
                            <w:r w:rsidR="001D25A6">
                              <w:rPr>
                                <w:b/>
                                <w:bCs/>
                              </w:rPr>
                              <w:fldChar w:fldCharType="begin"/>
                            </w:r>
                            <w:r w:rsidR="001D25A6">
                              <w:rPr>
                                <w:b/>
                                <w:bCs/>
                              </w:rPr>
                              <w:instrText xml:space="preserve"> SEQ Figure \* ARABIC </w:instrText>
                            </w:r>
                            <w:r w:rsidR="001D25A6">
                              <w:rPr>
                                <w:b/>
                                <w:bCs/>
                              </w:rPr>
                              <w:fldChar w:fldCharType="separate"/>
                            </w:r>
                            <w:r w:rsidR="00B0043E">
                              <w:rPr>
                                <w:b/>
                                <w:bCs/>
                                <w:noProof/>
                              </w:rPr>
                              <w:t>2</w:t>
                            </w:r>
                            <w:r w:rsidR="001D25A6">
                              <w:rPr>
                                <w:b/>
                                <w:bCs/>
                              </w:rPr>
                              <w:fldChar w:fldCharType="end"/>
                            </w:r>
                            <w:bookmarkEnd w:id="18"/>
                            <w:r w:rsidR="001D25A6">
                              <w:rPr>
                                <w:b/>
                                <w:bCs/>
                              </w:rPr>
                              <w:t>: Διαφορά τιμής των εναλλακτικών ναυτιλιακών καυσίμων έναντι του VLSFO στην περιοχή του Χιούστον</w:t>
                            </w:r>
                            <w:bookmarkEnd w:id="19"/>
                            <w:bookmarkEnd w:id="2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B7DDEC" id="_x0000_s1027" type="#_x0000_t202" style="position:absolute;left:0;text-align:left;margin-left:0;margin-top:295pt;width:477.35pt;height:24.6pt;z-index:251658243;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" stroked="f">
                <v:textbox inset="0,0,0,0">
                  <w:txbxContent>
                    <w:p w14:paraId="2F8F7E4C" w14:textId="1E2E9E56" w:rsidR="001D25A6" w:rsidRPr="00D65E12" w:rsidRDefault="00F822A6" w:rsidP="001D25A6">
                      <w:pPr>
                        <w:pStyle w:val="af2"/>
                        <w:jc w:val="center"/>
                        <w:rPr>
                          <w:b/>
                          <w:bCs/>
                          <w:noProof/>
                        </w:rPr>
                      </w:pPr>
                      <w:bookmarkStart w:id="21" w:name="_Ref225249615"/>
                      <w:bookmarkStart w:id="22" w:name="_Toc243077679"/>
                      <w:bookmarkStart w:id="23" w:name="_Toc243355367"/>
                      <w:r>
                        <w:rPr>
                          <w:b/>
                          <w:bCs/>
                        </w:rPr>
                        <w:t>Εικόνα</w:t>
                      </w:r>
                      <w:r w:rsidR="001D25A6">
                        <w:rPr>
                          <w:b/>
                          <w:bCs/>
                        </w:rPr>
                        <w:t xml:space="preserve"> </w:t>
                      </w:r>
                      <w:r w:rsidR="001D25A6">
                        <w:rPr>
                          <w:b/>
                          <w:bCs/>
                        </w:rPr>
                        <w:fldChar w:fldCharType="begin"/>
                      </w:r>
                      <w:r w:rsidR="001D25A6">
                        <w:rPr>
                          <w:b/>
                          <w:bCs/>
                        </w:rPr>
                        <w:instrText xml:space="preserve"> SEQ Figure \* ARABIC </w:instrText>
                      </w:r>
                      <w:r w:rsidR="001D25A6">
                        <w:rPr>
                          <w:b/>
                          <w:bCs/>
                        </w:rPr>
                        <w:fldChar w:fldCharType="separate"/>
                      </w:r>
                      <w:r w:rsidR="00B0043E">
                        <w:rPr>
                          <w:b/>
                          <w:bCs/>
                          <w:noProof/>
                        </w:rPr>
                        <w:t>2</w:t>
                      </w:r>
                      <w:r w:rsidR="001D25A6">
                        <w:rPr>
                          <w:b/>
                          <w:bCs/>
                        </w:rPr>
                        <w:fldChar w:fldCharType="end"/>
                      </w:r>
                      <w:bookmarkEnd w:id="21"/>
                      <w:r w:rsidR="001D25A6">
                        <w:rPr>
                          <w:b/>
                          <w:bCs/>
                        </w:rPr>
                        <w:t>: Διαφορά τιμής των εναλλακτικών ναυτιλιακών καυσίμων έναντι του VLSFO στην περιοχή του Χιούστον</w:t>
                      </w:r>
                      <w:bookmarkEnd w:id="22"/>
                      <w:bookmarkEnd w:id="23"/>
                    </w:p>
                  </w:txbxContent>
                </v:textbox>
                <w10:wrap type="square" anchorx="margin"/>
              </v:shape>
            </w:pict>
          </mc:Fallback>
        </mc:AlternateContent>
      </w:r>
      <w:r>
        <w:t>ακριβά.</w:t>
      </w:r>
    </w:p>
    <w:p w14:paraId="7CEFF401" w14:textId="775A7D15" w:rsidR="001D25A6" w:rsidRPr="00822C2D" w:rsidRDefault="002A11F3" w:rsidP="005E2967">
      <w:pPr>
        <w:spacing w:line="360" w:lineRule="auto"/>
        <w:jc w:val="both"/>
      </w:pPr>
      <w:r>
        <w:rPr>
          <w:noProof/>
        </w:rPr>
        <w:drawing>
          <wp:anchor distT="0" distB="0" distL="114300" distR="114300" simplePos="0" relativeHeight="251658242" behindDoc="0" locked="0" layoutInCell="1" allowOverlap="1" wp14:anchorId="5A6EAE6C" wp14:editId="316BB2FF">
            <wp:simplePos x="0" y="0"/>
            <wp:positionH relativeFrom="margin">
              <wp:align>center</wp:align>
            </wp:positionH>
            <wp:positionV relativeFrom="paragraph">
              <wp:posOffset>47792</wp:posOffset>
            </wp:positionV>
            <wp:extent cx="4723765" cy="2667000"/>
            <wp:effectExtent l="0" t="0" r="635" b="0"/>
            <wp:wrapSquare wrapText="bothSides"/>
            <wp:docPr id="2000563985" name="Γράφημα 1">
              <a:extLst xmlns:a="http://schemas.openxmlformats.org/drawingml/2006/main">
                <a:ext uri="{FF2B5EF4-FFF2-40B4-BE49-F238E27FC236}">
                  <a16:creationId xmlns:a16="http://schemas.microsoft.com/office/drawing/2014/main" id="{685D5DE2-D9C7-D495-17ED-85D384E189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1C70C985" w14:textId="6B5EC2FC" w:rsidR="00F75A4B" w:rsidRPr="00822C2D" w:rsidRDefault="00F75A4B" w:rsidP="00185EFB">
      <w:pPr>
        <w:spacing w:line="360" w:lineRule="auto"/>
        <w:jc w:val="both"/>
      </w:pPr>
      <w:r>
        <w:t xml:space="preserve">Για την περιοχή του Χιούστον,  </w:t>
      </w:r>
      <w:r>
        <w:fldChar w:fldCharType="begin"/>
      </w:r>
      <w:r>
        <w:instrText xml:space="preserve"> REF _Ref225249615 \h  \* MERGEFORMAT </w:instrText>
      </w:r>
      <w:r>
        <w:fldChar w:fldCharType="separate"/>
      </w:r>
      <w:r w:rsidR="00B0043E">
        <w:rPr>
          <w:b/>
          <w:bCs/>
        </w:rPr>
        <w:t>Εικόνα 2</w:t>
      </w:r>
      <w:r>
        <w:fldChar w:fldCharType="end"/>
      </w:r>
      <w:r w:rsidR="00E44E06">
        <w:t xml:space="preserve">, </w:t>
      </w:r>
      <w:r>
        <w:t xml:space="preserve">παρουσιάζει τη διαφορά τιμής των εναλλακτικών ναυτιλιακών καυσίμων έναντι του VLSFO. Το LNG και η </w:t>
      </w:r>
      <w:proofErr w:type="spellStart"/>
      <w:r>
        <w:t>μεθανόλη</w:t>
      </w:r>
      <w:proofErr w:type="spellEnd"/>
      <w:r>
        <w:t xml:space="preserve"> αναδεικνύονται στις οικονομικά ανταγωνιστικότερες επιλογές, με τη χαμηλότερη διαφορά τιμής, και επομένως αποτελούν τις πλέον εφικτές βραχυπρόθεσμες εναλλακτικές λύσεις. Αντίθετα, η γκρι αμμωνία παρουσιάζει σημαντικά υψηλότερη διαφορά τιμής, γεγονός που υποδηλώνει περιορισμένη οικονομική βιωσιμότητα υπό τις τρέχουσες συνθήκες της αγοράς. Τα μείγματα </w:t>
      </w:r>
      <w:proofErr w:type="spellStart"/>
      <w:r>
        <w:t>βιοντίζελ</w:t>
      </w:r>
      <w:proofErr w:type="spellEnd"/>
      <w:r>
        <w:t xml:space="preserve">, όπως το B30 (30% </w:t>
      </w:r>
      <w:proofErr w:type="spellStart"/>
      <w:r>
        <w:t>βιοντίζελ</w:t>
      </w:r>
      <w:proofErr w:type="spellEnd"/>
      <w:r>
        <w:t xml:space="preserve"> / 70% συμβατικό καύσιμο), παρουσιάζουν μέτρια διαφορά τιμής, γεγονός που υποδηλώνει ότι μπορούν να λειτουργήσουν ως μεταβατικά καύσιμα με ελάχιστες τροποποιήσεις στις υφιστάμενες μηχανές. Ωστόσο, τα καύσιμα χαμηλών εκπομπών άνθρακα που παραδίδονται μέσω φορτηγίδας παρουσιάζουν σημαντικά υψηλότερη διαφορά τιμής, η οποία αντανακλά το πρόσθετο κόστος της εφοδιαστικής αλυσίδας και της διακίνησης. Συνολικά, παρατηρείται παρόμοια ιεράρχηση κόστους, στην οποία τα συμβατικά και τα μεταβατικά καύσιμα (LNG, </w:t>
      </w:r>
      <w:proofErr w:type="spellStart"/>
      <w:r>
        <w:t>μεθανόλη</w:t>
      </w:r>
      <w:proofErr w:type="spellEnd"/>
      <w:r>
        <w:t xml:space="preserve"> και μείγματα </w:t>
      </w:r>
      <w:proofErr w:type="spellStart"/>
      <w:r>
        <w:t>βιοντίζελ</w:t>
      </w:r>
      <w:proofErr w:type="spellEnd"/>
      <w:r>
        <w:t>) είναι οικονομικά ελκυστικότερα, ενώ τα καύσιμα χαμηλών εκπομπών άνθρακα και τα καύσιμα με βάση την αμμωνία παραμένουν σχετικά ακριβά.</w:t>
      </w:r>
    </w:p>
    <w:p w14:paraId="2DEFB03C" w14:textId="77777777" w:rsidR="008B5EB2" w:rsidRPr="00822C2D" w:rsidRDefault="00DF19F1" w:rsidP="00185EFB">
      <w:pPr>
        <w:jc w:val="both"/>
      </w:pPr>
      <w:r>
        <w:rPr>
          <w:noProof/>
        </w:rPr>
        <w:lastRenderedPageBreak/>
        <w:drawing>
          <wp:anchor distT="0" distB="0" distL="114300" distR="114300" simplePos="0" relativeHeight="251658245" behindDoc="0" locked="0" layoutInCell="1" allowOverlap="1" wp14:anchorId="3B3CB979" wp14:editId="4604C90E">
            <wp:simplePos x="0" y="0"/>
            <wp:positionH relativeFrom="margin">
              <wp:align>center</wp:align>
            </wp:positionH>
            <wp:positionV relativeFrom="paragraph">
              <wp:posOffset>455549</wp:posOffset>
            </wp:positionV>
            <wp:extent cx="5181600" cy="3174365"/>
            <wp:effectExtent l="0" t="0" r="0" b="6985"/>
            <wp:wrapSquare wrapText="bothSides"/>
            <wp:docPr id="1504046995" name="Γράφημα 1">
              <a:extLst xmlns:a="http://schemas.openxmlformats.org/drawingml/2006/main">
                <a:ext uri="{FF2B5EF4-FFF2-40B4-BE49-F238E27FC236}">
                  <a16:creationId xmlns:a16="http://schemas.microsoft.com/office/drawing/2014/main" id="{053FE2B6-E4BA-9BD4-FAFC-23DD309B58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6" behindDoc="0" locked="0" layoutInCell="1" allowOverlap="1" wp14:anchorId="49C46C27" wp14:editId="43FB160B">
                <wp:simplePos x="0" y="0"/>
                <wp:positionH relativeFrom="column">
                  <wp:posOffset>256540</wp:posOffset>
                </wp:positionH>
                <wp:positionV relativeFrom="paragraph">
                  <wp:posOffset>3723005</wp:posOffset>
                </wp:positionV>
                <wp:extent cx="4973955" cy="635"/>
                <wp:effectExtent l="0" t="0" r="0" b="0"/>
                <wp:wrapSquare wrapText="bothSides"/>
                <wp:docPr id="898504413" name="Πλαίσιο κειμένου 1"/>
                <wp:cNvGraphicFramePr/>
                <a:graphic xmlns:a="http://schemas.openxmlformats.org/drawingml/2006/main">
                  <a:graphicData uri="http://schemas.microsoft.com/office/word/2010/wordprocessingShape">
                    <wps:wsp>
                      <wps:cNvSpPr txBox="1"/>
                      <wps:spPr>
                        <a:xfrm>
                          <a:off x="0" y="0"/>
                          <a:ext cx="4973955" cy="635"/>
                        </a:xfrm>
                        <a:prstGeom prst="rect">
                          <a:avLst/>
                        </a:prstGeom>
                        <a:solidFill>
                          <a:prstClr val="white"/>
                        </a:solidFill>
                        <a:ln>
                          <a:noFill/>
                        </a:ln>
                      </wps:spPr>
                      <wps:txbx>
                        <w:txbxContent>
                          <w:p w14:paraId="56791B23" w14:textId="7E62E541" w:rsidR="00DF19F1" w:rsidRPr="00DF19F1" w:rsidRDefault="00F822A6" w:rsidP="00DF19F1">
                            <w:pPr>
                              <w:pStyle w:val="af2"/>
                              <w:jc w:val="center"/>
                              <w:rPr>
                                <w:b/>
                                <w:bCs/>
                                <w:noProof/>
                              </w:rPr>
                            </w:pPr>
                            <w:bookmarkStart w:id="24" w:name="_Ref225257920"/>
                            <w:bookmarkStart w:id="25" w:name="_Toc243077680"/>
                            <w:bookmarkStart w:id="26" w:name="_Toc243355368"/>
                            <w:r>
                              <w:rPr>
                                <w:b/>
                                <w:bCs/>
                              </w:rPr>
                              <w:t>Εικόνα</w:t>
                            </w:r>
                            <w:r w:rsidR="00DF19F1">
                              <w:rPr>
                                <w:b/>
                                <w:bCs/>
                              </w:rPr>
                              <w:t xml:space="preserve"> </w:t>
                            </w:r>
                            <w:r w:rsidR="00DF19F1">
                              <w:rPr>
                                <w:b/>
                                <w:bCs/>
                              </w:rPr>
                              <w:fldChar w:fldCharType="begin"/>
                            </w:r>
                            <w:r w:rsidR="00DF19F1">
                              <w:rPr>
                                <w:b/>
                                <w:bCs/>
                              </w:rPr>
                              <w:instrText xml:space="preserve"> SEQ Figure \* ARABIC </w:instrText>
                            </w:r>
                            <w:r w:rsidR="00DF19F1">
                              <w:rPr>
                                <w:b/>
                                <w:bCs/>
                              </w:rPr>
                              <w:fldChar w:fldCharType="separate"/>
                            </w:r>
                            <w:r w:rsidR="00B0043E">
                              <w:rPr>
                                <w:b/>
                                <w:bCs/>
                                <w:noProof/>
                              </w:rPr>
                              <w:t>3</w:t>
                            </w:r>
                            <w:r w:rsidR="00DF19F1">
                              <w:rPr>
                                <w:b/>
                                <w:bCs/>
                              </w:rPr>
                              <w:fldChar w:fldCharType="end"/>
                            </w:r>
                            <w:bookmarkEnd w:id="24"/>
                            <w:r w:rsidR="00DF19F1">
                              <w:rPr>
                                <w:b/>
                                <w:bCs/>
                              </w:rPr>
                              <w:t>: Διαφορά τιμής των εναλλακτικών ναυτιλιακών καυσίμων έναντι του VLSFO στην περιοχή της Σιγκαπούρης</w:t>
                            </w:r>
                            <w:bookmarkEnd w:id="25"/>
                            <w:bookmarkEnd w:id="2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9C46C27" id="_x0000_s1028" type="#_x0000_t202" style="position:absolute;left:0;text-align:left;margin-left:20.2pt;margin-top:293.15pt;width:391.65pt;height:.05pt;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" stroked="f">
                <v:textbox style="mso-fit-shape-to-text:t" inset="0,0,0,0">
                  <w:txbxContent>
                    <w:p w14:paraId="56791B23" w14:textId="7E62E541" w:rsidR="00DF19F1" w:rsidRPr="00DF19F1" w:rsidRDefault="00F822A6" w:rsidP="00DF19F1">
                      <w:pPr>
                        <w:pStyle w:val="af2"/>
                        <w:jc w:val="center"/>
                        <w:rPr>
                          <w:b/>
                          <w:bCs/>
                          <w:noProof/>
                        </w:rPr>
                      </w:pPr>
                      <w:bookmarkStart w:id="27" w:name="_Ref225257920"/>
                      <w:bookmarkStart w:id="28" w:name="_Toc243077680"/>
                      <w:bookmarkStart w:id="29" w:name="_Toc243355368"/>
                      <w:r>
                        <w:rPr>
                          <w:b/>
                          <w:bCs/>
                        </w:rPr>
                        <w:t>Εικόνα</w:t>
                      </w:r>
                      <w:r w:rsidR="00DF19F1">
                        <w:rPr>
                          <w:b/>
                          <w:bCs/>
                        </w:rPr>
                        <w:t xml:space="preserve"> </w:t>
                      </w:r>
                      <w:r w:rsidR="00DF19F1">
                        <w:rPr>
                          <w:b/>
                          <w:bCs/>
                        </w:rPr>
                        <w:fldChar w:fldCharType="begin"/>
                      </w:r>
                      <w:r w:rsidR="00DF19F1">
                        <w:rPr>
                          <w:b/>
                          <w:bCs/>
                        </w:rPr>
                        <w:instrText xml:space="preserve"> SEQ Figure \* ARABIC </w:instrText>
                      </w:r>
                      <w:r w:rsidR="00DF19F1">
                        <w:rPr>
                          <w:b/>
                          <w:bCs/>
                        </w:rPr>
                        <w:fldChar w:fldCharType="separate"/>
                      </w:r>
                      <w:r w:rsidR="00B0043E">
                        <w:rPr>
                          <w:b/>
                          <w:bCs/>
                          <w:noProof/>
                        </w:rPr>
                        <w:t>3</w:t>
                      </w:r>
                      <w:r w:rsidR="00DF19F1">
                        <w:rPr>
                          <w:b/>
                          <w:bCs/>
                        </w:rPr>
                        <w:fldChar w:fldCharType="end"/>
                      </w:r>
                      <w:bookmarkEnd w:id="27"/>
                      <w:r w:rsidR="00DF19F1">
                        <w:rPr>
                          <w:b/>
                          <w:bCs/>
                        </w:rPr>
                        <w:t>: Διαφορά τιμής των εναλλακτικών ναυτιλιακών καυσίμων έναντι του VLSFO στην περιοχή της Σιγκαπούρης</w:t>
                      </w:r>
                      <w:bookmarkEnd w:id="28"/>
                      <w:bookmarkEnd w:id="29"/>
                    </w:p>
                  </w:txbxContent>
                </v:textbox>
                <w10:wrap type="square"/>
              </v:shape>
            </w:pict>
          </mc:Fallback>
        </mc:AlternateContent>
      </w:r>
    </w:p>
    <w:p w14:paraId="5F48BB1F" w14:textId="77777777" w:rsidR="001D25A6" w:rsidRPr="00822C2D" w:rsidRDefault="001D25A6" w:rsidP="00185EFB">
      <w:pPr>
        <w:jc w:val="both"/>
      </w:pPr>
    </w:p>
    <w:p w14:paraId="043F7F7D" w14:textId="29FCAEB3" w:rsidR="00470FB8" w:rsidRPr="00822C2D" w:rsidRDefault="00470FB8" w:rsidP="00185EFB">
      <w:pPr>
        <w:spacing w:line="360" w:lineRule="auto"/>
        <w:jc w:val="both"/>
      </w:pPr>
      <w:r>
        <w:t>Για την περιοχή της Σιγκαπούρης,</w:t>
      </w:r>
      <w:r w:rsidR="0021349F">
        <w:t xml:space="preserve"> </w:t>
      </w:r>
      <w:r>
        <w:fldChar w:fldCharType="begin"/>
      </w:r>
      <w:r>
        <w:instrText xml:space="preserve"> REF _Ref225257920 \h  \* MERGEFORMAT </w:instrText>
      </w:r>
      <w:r>
        <w:fldChar w:fldCharType="separate"/>
      </w:r>
      <w:r w:rsidR="00B0043E">
        <w:rPr>
          <w:b/>
          <w:bCs/>
        </w:rPr>
        <w:t>Εικόνα 3</w:t>
      </w:r>
      <w:r>
        <w:fldChar w:fldCharType="end"/>
      </w:r>
      <w:r w:rsidR="0021349F">
        <w:t>,</w:t>
      </w:r>
      <w:r>
        <w:t xml:space="preserve"> παρουσιάζει τη διαφορά τιμής των εναλλακτικών ναυτιλιακών καυσίμων έναντι του VLSFO. Το LNG αναδεικνύεται στην οικονομικά ανταγωνιστικότερη επιλογή, με αμελητέα διαφορά τιμής, και επομένως αποτελεί την πλέον εφικτή βραχυπρόθεσμη εναλλακτική λύση. Η </w:t>
      </w:r>
      <w:proofErr w:type="spellStart"/>
      <w:r>
        <w:t>μεθανόλη</w:t>
      </w:r>
      <w:proofErr w:type="spellEnd"/>
      <w:r>
        <w:t xml:space="preserve"> και το </w:t>
      </w:r>
      <w:proofErr w:type="spellStart"/>
      <w:r>
        <w:t>βιοντίζελ</w:t>
      </w:r>
      <w:proofErr w:type="spellEnd"/>
      <w:r>
        <w:t xml:space="preserve"> (B24) παρουσιάζουν επίσης σχετικά χαμηλή διαφορά τιμής, γεγονός που τα καθιστά βιώσιμα μεταβατικά καύσιμα. Αντίθετα, τα καύσιμα με βάση την αμμωνία, και ιδίως η πράσινη αμμωνία, παρουσιάζουν σημαντικά υψηλότερη διαφορά τιμής, γεγονός που δείχνει ότι η οικονομική τους βιωσιμότητα παραμένει περιορισμένη υπό τις τρέχουσες συνθήκες της αγοράς. Η γκρι αμμωνία, αν και φθηνότερη από την πράσινη, εξακολουθεί να συνεπάγεται σημαντική αύξηση κόστους σε σύγκριση με τα συμβατικά καύσιμα. Το υδρογόνο παρουσιάζει επίσης υψηλή διαφορά τιμής, γεγονός που ενισχύει τη θέση του ως μακροπρόθεσμης και όχι άμεσης λύσης. Συνολικά, παρατηρείται σαφής ιεράρχηση κόστους, στην οποία το LNG, η </w:t>
      </w:r>
      <w:proofErr w:type="spellStart"/>
      <w:r>
        <w:t>μεθανόλη</w:t>
      </w:r>
      <w:proofErr w:type="spellEnd"/>
      <w:r>
        <w:t xml:space="preserve"> και τα μείγματα </w:t>
      </w:r>
      <w:proofErr w:type="spellStart"/>
      <w:r>
        <w:t>βιοντίζελ</w:t>
      </w:r>
      <w:proofErr w:type="spellEnd"/>
      <w:r>
        <w:t xml:space="preserve"> αποτελούν τις οικονομικά ελκυστικότερες επιλογές, ενώ τα καύσιμα μηδενικού άνθρακα, όπως η αμμωνία και το υδρογόνο, παραμένουν σημαντικά ακριβότερα.</w:t>
      </w:r>
    </w:p>
    <w:p w14:paraId="130A8F1E" w14:textId="77777777" w:rsidR="001D25A6" w:rsidRPr="00822C2D" w:rsidRDefault="00FC6AD3" w:rsidP="00185EFB">
      <w:pPr>
        <w:tabs>
          <w:tab w:val="left" w:pos="3504"/>
        </w:tabs>
        <w:jc w:val="both"/>
      </w:pPr>
      <w:r>
        <w:rPr>
          <w:noProof/>
        </w:rPr>
        <w:lastRenderedPageBreak/>
        <w:drawing>
          <wp:anchor distT="0" distB="0" distL="114300" distR="114300" simplePos="0" relativeHeight="251658247" behindDoc="0" locked="0" layoutInCell="1" allowOverlap="1" wp14:anchorId="0C98DC28" wp14:editId="6154B100">
            <wp:simplePos x="0" y="0"/>
            <wp:positionH relativeFrom="margin">
              <wp:posOffset>149860</wp:posOffset>
            </wp:positionH>
            <wp:positionV relativeFrom="paragraph">
              <wp:posOffset>321310</wp:posOffset>
            </wp:positionV>
            <wp:extent cx="5036820" cy="2586355"/>
            <wp:effectExtent l="0" t="0" r="0" b="4445"/>
            <wp:wrapSquare wrapText="bothSides"/>
            <wp:docPr id="1854152545" name="Γράφημα 1">
              <a:extLst xmlns:a="http://schemas.openxmlformats.org/drawingml/2006/main">
                <a:ext uri="{FF2B5EF4-FFF2-40B4-BE49-F238E27FC236}">
                  <a16:creationId xmlns:a16="http://schemas.microsoft.com/office/drawing/2014/main" id="{BC6CF7B0-FCFA-4E8D-AA2E-018A568FE2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8" behindDoc="0" locked="0" layoutInCell="1" allowOverlap="1" wp14:anchorId="360AC864" wp14:editId="4607CA39">
                <wp:simplePos x="0" y="0"/>
                <wp:positionH relativeFrom="margin">
                  <wp:align>center</wp:align>
                </wp:positionH>
                <wp:positionV relativeFrom="paragraph">
                  <wp:posOffset>3087804</wp:posOffset>
                </wp:positionV>
                <wp:extent cx="4892040" cy="635"/>
                <wp:effectExtent l="0" t="0" r="3810" b="8255"/>
                <wp:wrapSquare wrapText="bothSides"/>
                <wp:docPr id="1687664128" name="Πλαίσιο κειμένου 1"/>
                <wp:cNvGraphicFramePr/>
                <a:graphic xmlns:a="http://schemas.openxmlformats.org/drawingml/2006/main">
                  <a:graphicData uri="http://schemas.microsoft.com/office/word/2010/wordprocessingShape">
                    <wps:wsp>
                      <wps:cNvSpPr txBox="1"/>
                      <wps:spPr>
                        <a:xfrm>
                          <a:off x="0" y="0"/>
                          <a:ext cx="4892040" cy="635"/>
                        </a:xfrm>
                        <a:prstGeom prst="rect">
                          <a:avLst/>
                        </a:prstGeom>
                        <a:solidFill>
                          <a:prstClr val="white"/>
                        </a:solidFill>
                        <a:ln>
                          <a:noFill/>
                        </a:ln>
                      </wps:spPr>
                      <wps:txbx>
                        <w:txbxContent>
                          <w:p w14:paraId="14BFB373" w14:textId="5489B65B" w:rsidR="00CE57AF" w:rsidRPr="0011299B" w:rsidRDefault="00F822A6" w:rsidP="0011299B">
                            <w:pPr>
                              <w:pStyle w:val="af2"/>
                              <w:jc w:val="center"/>
                              <w:rPr>
                                <w:b/>
                                <w:bCs/>
                              </w:rPr>
                            </w:pPr>
                            <w:bookmarkStart w:id="30" w:name="_Ref225260724"/>
                            <w:bookmarkStart w:id="31" w:name="_Toc243077681"/>
                            <w:bookmarkStart w:id="32" w:name="_Toc243355369"/>
                            <w:r>
                              <w:rPr>
                                <w:b/>
                                <w:bCs/>
                              </w:rPr>
                              <w:t>Εικόνα</w:t>
                            </w:r>
                            <w:r w:rsidR="00CE57AF">
                              <w:rPr>
                                <w:b/>
                                <w:bCs/>
                              </w:rPr>
                              <w:t xml:space="preserve"> </w:t>
                            </w:r>
                            <w:r w:rsidR="00CE57AF">
                              <w:rPr>
                                <w:b/>
                                <w:bCs/>
                              </w:rPr>
                              <w:fldChar w:fldCharType="begin"/>
                            </w:r>
                            <w:r w:rsidR="00CE57AF">
                              <w:rPr>
                                <w:b/>
                                <w:bCs/>
                              </w:rPr>
                              <w:instrText xml:space="preserve"> SEQ Figure \* ARABIC </w:instrText>
                            </w:r>
                            <w:r w:rsidR="00CE57AF">
                              <w:rPr>
                                <w:b/>
                                <w:bCs/>
                              </w:rPr>
                              <w:fldChar w:fldCharType="separate"/>
                            </w:r>
                            <w:r w:rsidR="00B0043E">
                              <w:rPr>
                                <w:b/>
                                <w:bCs/>
                                <w:noProof/>
                              </w:rPr>
                              <w:t>4</w:t>
                            </w:r>
                            <w:r w:rsidR="00CE57AF">
                              <w:rPr>
                                <w:b/>
                                <w:bCs/>
                              </w:rPr>
                              <w:fldChar w:fldCharType="end"/>
                            </w:r>
                            <w:bookmarkEnd w:id="30"/>
                            <w:r w:rsidR="00CE57AF">
                              <w:rPr>
                                <w:b/>
                                <w:bCs/>
                              </w:rPr>
                              <w:t>: Διαφορά τιμής των εναλλακτικών ναυτιλιακών καυσίμων έναντι του VLSFO στην περιοχή της Fujairah</w:t>
                            </w:r>
                            <w:bookmarkEnd w:id="31"/>
                            <w:bookmarkEnd w:id="3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60AC864" id="_x0000_s1029" type="#_x0000_t202" style="position:absolute;left:0;text-align:left;margin-left:0;margin-top:243.15pt;width:385.2pt;height:.05pt;z-index:25165824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" stroked="f">
                <v:textbox style="mso-fit-shape-to-text:t" inset="0,0,0,0">
                  <w:txbxContent>
                    <w:p w14:paraId="14BFB373" w14:textId="5489B65B" w:rsidR="00CE57AF" w:rsidRPr="0011299B" w:rsidRDefault="00F822A6" w:rsidP="0011299B">
                      <w:pPr>
                        <w:pStyle w:val="af2"/>
                        <w:jc w:val="center"/>
                        <w:rPr>
                          <w:b/>
                          <w:bCs/>
                        </w:rPr>
                      </w:pPr>
                      <w:bookmarkStart w:id="33" w:name="_Ref225260724"/>
                      <w:bookmarkStart w:id="34" w:name="_Toc243077681"/>
                      <w:bookmarkStart w:id="35" w:name="_Toc243355369"/>
                      <w:r>
                        <w:rPr>
                          <w:b/>
                          <w:bCs/>
                        </w:rPr>
                        <w:t>Εικόνα</w:t>
                      </w:r>
                      <w:r w:rsidR="00CE57AF">
                        <w:rPr>
                          <w:b/>
                          <w:bCs/>
                        </w:rPr>
                        <w:t xml:space="preserve"> </w:t>
                      </w:r>
                      <w:r w:rsidR="00CE57AF">
                        <w:rPr>
                          <w:b/>
                          <w:bCs/>
                        </w:rPr>
                        <w:fldChar w:fldCharType="begin"/>
                      </w:r>
                      <w:r w:rsidR="00CE57AF">
                        <w:rPr>
                          <w:b/>
                          <w:bCs/>
                        </w:rPr>
                        <w:instrText xml:space="preserve"> SEQ Figure \* ARABIC </w:instrText>
                      </w:r>
                      <w:r w:rsidR="00CE57AF">
                        <w:rPr>
                          <w:b/>
                          <w:bCs/>
                        </w:rPr>
                        <w:fldChar w:fldCharType="separate"/>
                      </w:r>
                      <w:r w:rsidR="00B0043E">
                        <w:rPr>
                          <w:b/>
                          <w:bCs/>
                          <w:noProof/>
                        </w:rPr>
                        <w:t>4</w:t>
                      </w:r>
                      <w:r w:rsidR="00CE57AF">
                        <w:rPr>
                          <w:b/>
                          <w:bCs/>
                        </w:rPr>
                        <w:fldChar w:fldCharType="end"/>
                      </w:r>
                      <w:bookmarkEnd w:id="33"/>
                      <w:r w:rsidR="00CE57AF">
                        <w:rPr>
                          <w:b/>
                          <w:bCs/>
                        </w:rPr>
                        <w:t>: Διαφορά τιμής των εναλλακτικών ναυτιλιακών καυσίμων έναντι του VLSFO στην περιοχή της Fujairah</w:t>
                      </w:r>
                      <w:bookmarkEnd w:id="34"/>
                      <w:bookmarkEnd w:id="35"/>
                    </w:p>
                  </w:txbxContent>
                </v:textbox>
                <w10:wrap type="square" anchorx="margin"/>
              </v:shape>
            </w:pict>
          </mc:Fallback>
        </mc:AlternateContent>
      </w:r>
    </w:p>
    <w:p w14:paraId="172127ED" w14:textId="77777777" w:rsidR="000B7917" w:rsidRPr="00822C2D" w:rsidRDefault="000B7917" w:rsidP="00185EFB">
      <w:pPr>
        <w:tabs>
          <w:tab w:val="left" w:pos="3504"/>
        </w:tabs>
        <w:spacing w:line="360" w:lineRule="auto"/>
        <w:jc w:val="both"/>
      </w:pPr>
    </w:p>
    <w:p w14:paraId="644C0810" w14:textId="0D64BD28" w:rsidR="005458C8" w:rsidRPr="001328E0" w:rsidRDefault="005D4347" w:rsidP="005458C8">
      <w:pPr>
        <w:tabs>
          <w:tab w:val="left" w:pos="3504"/>
        </w:tabs>
        <w:spacing w:line="360" w:lineRule="auto"/>
        <w:jc w:val="both"/>
      </w:pPr>
      <w:r>
        <w:t xml:space="preserve">Για την περιοχή της </w:t>
      </w:r>
      <w:proofErr w:type="spellStart"/>
      <w:r>
        <w:t>Fujairah</w:t>
      </w:r>
      <w:proofErr w:type="spellEnd"/>
      <w:r>
        <w:t xml:space="preserve">, </w:t>
      </w:r>
      <w:r>
        <w:fldChar w:fldCharType="begin"/>
      </w:r>
      <w:r>
        <w:instrText xml:space="preserve"> REF _Ref225260724 \h  \* MERGEFORMAT </w:instrText>
      </w:r>
      <w:r>
        <w:fldChar w:fldCharType="separate"/>
      </w:r>
      <w:r w:rsidR="00B0043E">
        <w:rPr>
          <w:b/>
          <w:bCs/>
        </w:rPr>
        <w:t>Εικόνα 4</w:t>
      </w:r>
      <w:r>
        <w:fldChar w:fldCharType="end"/>
      </w:r>
      <w:r w:rsidR="00DD6AF1">
        <w:t>,</w:t>
      </w:r>
      <w:r>
        <w:t xml:space="preserve"> παρουσιάζει τη διαφορά τιμής των εναλλακτικών ναυτιλιακών καυσίμων έναντι του VLSFO. Το </w:t>
      </w:r>
      <w:proofErr w:type="spellStart"/>
      <w:r>
        <w:t>βιοντίζελ</w:t>
      </w:r>
      <w:proofErr w:type="spellEnd"/>
      <w:r>
        <w:t xml:space="preserve"> (B24) παρουσιάζει μέτρια διαφορά τιμής, γεγονός που υποδηλώνει ότι μπορεί να λειτουργήσει ως μεταβατικό καύσιμο με ελάχιστες τροποποιήσεις στις υφιστάμενες μηχανές. Από την άλλη πλευρά, η γκρι αμμωνία παρουσιάζει σημαντικά υψηλότερη διαφορά τιμής, γεγονός που υποδηλώνει περιορισμένη οικονομική βιωσιμότητα υπό τις τρέχουσες συνθήκες της αγοράς. Η διαφορά που παρατηρείται αναδεικνύει σαφή ανισότητα κόστους μεταξύ των μεταβατικών καυσίμων και των καυσίμων χαμηλών εκπομπών άνθρακα, καθώς το </w:t>
      </w:r>
      <w:proofErr w:type="spellStart"/>
      <w:r>
        <w:t>βιοντίζελ</w:t>
      </w:r>
      <w:proofErr w:type="spellEnd"/>
      <w:r>
        <w:t xml:space="preserve"> εμφανίζεται οικονομικά ελκυστικότερο βραχυπρόθεσμα, ενώ οι λύσεις με βάση την αμμωνία παραμένουν σχετικά ακριβές.</w:t>
      </w:r>
    </w:p>
    <w:p w14:paraId="037271B5" w14:textId="105E9CD6" w:rsidR="00FC6301" w:rsidRDefault="005E2967" w:rsidP="005458C8">
      <w:pPr>
        <w:tabs>
          <w:tab w:val="left" w:pos="3504"/>
        </w:tabs>
        <w:spacing w:line="360" w:lineRule="auto"/>
        <w:jc w:val="both"/>
      </w:pPr>
      <w:r>
        <w:rPr>
          <w:noProof/>
        </w:rPr>
        <w:drawing>
          <wp:anchor distT="0" distB="0" distL="114300" distR="114300" simplePos="0" relativeHeight="251658249" behindDoc="0" locked="0" layoutInCell="1" allowOverlap="1" wp14:anchorId="76E7ABCC" wp14:editId="2C1E3085">
            <wp:simplePos x="0" y="0"/>
            <wp:positionH relativeFrom="margin">
              <wp:posOffset>739775</wp:posOffset>
            </wp:positionH>
            <wp:positionV relativeFrom="paragraph">
              <wp:posOffset>204470</wp:posOffset>
            </wp:positionV>
            <wp:extent cx="4066540" cy="2045970"/>
            <wp:effectExtent l="0" t="0" r="0" b="0"/>
            <wp:wrapSquare wrapText="bothSides"/>
            <wp:docPr id="1596630896" name="Γράφημα 1">
              <a:extLst xmlns:a="http://schemas.openxmlformats.org/drawingml/2006/main">
                <a:ext uri="{FF2B5EF4-FFF2-40B4-BE49-F238E27FC236}">
                  <a16:creationId xmlns:a16="http://schemas.microsoft.com/office/drawing/2014/main" id="{BBB16C88-6BA6-FA60-8F52-6CC62C35F7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00FC6301">
        <w:rPr>
          <w:noProof/>
        </w:rPr>
        <mc:AlternateContent>
          <mc:Choice Requires="wps">
            <w:drawing>
              <wp:anchor distT="0" distB="0" distL="114300" distR="114300" simplePos="0" relativeHeight="251658250" behindDoc="0" locked="0" layoutInCell="1" allowOverlap="1" wp14:anchorId="7472FCCC" wp14:editId="3F88D830">
                <wp:simplePos x="0" y="0"/>
                <wp:positionH relativeFrom="margin">
                  <wp:align>right</wp:align>
                </wp:positionH>
                <wp:positionV relativeFrom="paragraph">
                  <wp:posOffset>3469323</wp:posOffset>
                </wp:positionV>
                <wp:extent cx="5480050" cy="333375"/>
                <wp:effectExtent l="0" t="0" r="6350" b="9525"/>
                <wp:wrapSquare wrapText="bothSides"/>
                <wp:docPr id="1269497516" name="Πλαίσιο κειμένου 1"/>
                <wp:cNvGraphicFramePr/>
                <a:graphic xmlns:a="http://schemas.openxmlformats.org/drawingml/2006/main">
                  <a:graphicData uri="http://schemas.microsoft.com/office/word/2010/wordprocessingShape">
                    <wps:wsp>
                      <wps:cNvSpPr txBox="1"/>
                      <wps:spPr>
                        <a:xfrm>
                          <a:off x="0" y="0"/>
                          <a:ext cx="5480050" cy="333375"/>
                        </a:xfrm>
                        <a:prstGeom prst="rect">
                          <a:avLst/>
                        </a:prstGeom>
                        <a:solidFill>
                          <a:prstClr val="white"/>
                        </a:solidFill>
                        <a:ln>
                          <a:noFill/>
                        </a:ln>
                      </wps:spPr>
                      <wps:txbx>
                        <w:txbxContent>
                          <w:p w14:paraId="453D6BBC" w14:textId="3F4E465F" w:rsidR="004A56D6" w:rsidRPr="004A56D6" w:rsidRDefault="00F822A6" w:rsidP="004A56D6">
                            <w:pPr>
                              <w:pStyle w:val="af2"/>
                              <w:jc w:val="center"/>
                              <w:rPr>
                                <w:b/>
                                <w:bCs/>
                                <w:noProof/>
                              </w:rPr>
                            </w:pPr>
                            <w:bookmarkStart w:id="36" w:name="_Ref225262065"/>
                            <w:bookmarkStart w:id="37" w:name="_Toc243077682"/>
                            <w:bookmarkStart w:id="38" w:name="_Toc243355370"/>
                            <w:r>
                              <w:rPr>
                                <w:b/>
                                <w:bCs/>
                              </w:rPr>
                              <w:t>Εικόνα</w:t>
                            </w:r>
                            <w:r w:rsidR="004A56D6">
                              <w:rPr>
                                <w:b/>
                                <w:bCs/>
                              </w:rPr>
                              <w:t xml:space="preserve"> </w:t>
                            </w:r>
                            <w:r w:rsidR="004A56D6">
                              <w:rPr>
                                <w:b/>
                                <w:bCs/>
                              </w:rPr>
                              <w:fldChar w:fldCharType="begin"/>
                            </w:r>
                            <w:r w:rsidR="004A56D6">
                              <w:rPr>
                                <w:b/>
                                <w:bCs/>
                              </w:rPr>
                              <w:instrText xml:space="preserve"> SEQ Figure \* ARABIC </w:instrText>
                            </w:r>
                            <w:r w:rsidR="004A56D6">
                              <w:rPr>
                                <w:b/>
                                <w:bCs/>
                              </w:rPr>
                              <w:fldChar w:fldCharType="separate"/>
                            </w:r>
                            <w:r w:rsidR="00B0043E">
                              <w:rPr>
                                <w:b/>
                                <w:bCs/>
                                <w:noProof/>
                              </w:rPr>
                              <w:t>5</w:t>
                            </w:r>
                            <w:r w:rsidR="004A56D6">
                              <w:rPr>
                                <w:b/>
                                <w:bCs/>
                              </w:rPr>
                              <w:fldChar w:fldCharType="end"/>
                            </w:r>
                            <w:bookmarkEnd w:id="36"/>
                            <w:r w:rsidR="004A56D6">
                              <w:rPr>
                                <w:b/>
                                <w:bCs/>
                              </w:rPr>
                              <w:t>: Διαφορά τιμής των εναλλακτικών ναυτιλιακών καυσίμων έναντι του VLSFO στην περιοχή του Zhoushan</w:t>
                            </w:r>
                            <w:bookmarkEnd w:id="37"/>
                            <w:bookmarkEnd w:id="3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72FCCC" id="_x0000_s1030" type="#_x0000_t202" style="position:absolute;left:0;text-align:left;margin-left:380.3pt;margin-top:273.2pt;width:431.5pt;height:26.25pt;z-index:25165825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" stroked="f">
                <v:textbox inset="0,0,0,0">
                  <w:txbxContent>
                    <w:p w14:paraId="453D6BBC" w14:textId="3F4E465F" w:rsidR="004A56D6" w:rsidRPr="004A56D6" w:rsidRDefault="00F822A6" w:rsidP="004A56D6">
                      <w:pPr>
                        <w:pStyle w:val="af2"/>
                        <w:jc w:val="center"/>
                        <w:rPr>
                          <w:b/>
                          <w:bCs/>
                          <w:noProof/>
                        </w:rPr>
                      </w:pPr>
                      <w:bookmarkStart w:id="39" w:name="_Ref225262065"/>
                      <w:bookmarkStart w:id="40" w:name="_Toc243077682"/>
                      <w:bookmarkStart w:id="41" w:name="_Toc243355370"/>
                      <w:r>
                        <w:rPr>
                          <w:b/>
                          <w:bCs/>
                        </w:rPr>
                        <w:t>Εικόνα</w:t>
                      </w:r>
                      <w:r w:rsidR="004A56D6">
                        <w:rPr>
                          <w:b/>
                          <w:bCs/>
                        </w:rPr>
                        <w:t xml:space="preserve"> </w:t>
                      </w:r>
                      <w:r w:rsidR="004A56D6">
                        <w:rPr>
                          <w:b/>
                          <w:bCs/>
                        </w:rPr>
                        <w:fldChar w:fldCharType="begin"/>
                      </w:r>
                      <w:r w:rsidR="004A56D6">
                        <w:rPr>
                          <w:b/>
                          <w:bCs/>
                        </w:rPr>
                        <w:instrText xml:space="preserve"> SEQ Figure \* ARABIC </w:instrText>
                      </w:r>
                      <w:r w:rsidR="004A56D6">
                        <w:rPr>
                          <w:b/>
                          <w:bCs/>
                        </w:rPr>
                        <w:fldChar w:fldCharType="separate"/>
                      </w:r>
                      <w:r w:rsidR="00B0043E">
                        <w:rPr>
                          <w:b/>
                          <w:bCs/>
                          <w:noProof/>
                        </w:rPr>
                        <w:t>5</w:t>
                      </w:r>
                      <w:r w:rsidR="004A56D6">
                        <w:rPr>
                          <w:b/>
                          <w:bCs/>
                        </w:rPr>
                        <w:fldChar w:fldCharType="end"/>
                      </w:r>
                      <w:bookmarkEnd w:id="39"/>
                      <w:r w:rsidR="004A56D6">
                        <w:rPr>
                          <w:b/>
                          <w:bCs/>
                        </w:rPr>
                        <w:t>: Διαφορά τιμής των εναλλακτικών ναυτιλιακών καυσίμων έναντι του VLSFO στην περιοχή του Zhoushan</w:t>
                      </w:r>
                      <w:bookmarkEnd w:id="40"/>
                      <w:bookmarkEnd w:id="41"/>
                    </w:p>
                  </w:txbxContent>
                </v:textbox>
                <w10:wrap type="square" anchorx="margin"/>
              </v:shape>
            </w:pict>
          </mc:Fallback>
        </mc:AlternateContent>
      </w:r>
    </w:p>
    <w:p w14:paraId="492047CA" w14:textId="61B4E51D" w:rsidR="00FC6301" w:rsidRDefault="00FC6301" w:rsidP="005458C8">
      <w:pPr>
        <w:tabs>
          <w:tab w:val="left" w:pos="3504"/>
        </w:tabs>
        <w:spacing w:line="360" w:lineRule="auto"/>
        <w:jc w:val="both"/>
      </w:pPr>
    </w:p>
    <w:p w14:paraId="0C17DE86" w14:textId="77777777" w:rsidR="005E2967" w:rsidRDefault="005E2967" w:rsidP="005458C8">
      <w:pPr>
        <w:tabs>
          <w:tab w:val="left" w:pos="3504"/>
        </w:tabs>
        <w:spacing w:line="360" w:lineRule="auto"/>
        <w:jc w:val="both"/>
      </w:pPr>
    </w:p>
    <w:p w14:paraId="13E9FF39" w14:textId="77777777" w:rsidR="005E2967" w:rsidRDefault="005E2967" w:rsidP="005458C8">
      <w:pPr>
        <w:tabs>
          <w:tab w:val="left" w:pos="3504"/>
        </w:tabs>
        <w:spacing w:line="360" w:lineRule="auto"/>
        <w:jc w:val="both"/>
      </w:pPr>
    </w:p>
    <w:p w14:paraId="3F0F8D55" w14:textId="77777777" w:rsidR="005E2967" w:rsidRDefault="005E2967" w:rsidP="005458C8">
      <w:pPr>
        <w:tabs>
          <w:tab w:val="left" w:pos="3504"/>
        </w:tabs>
        <w:spacing w:line="360" w:lineRule="auto"/>
        <w:jc w:val="both"/>
      </w:pPr>
    </w:p>
    <w:p w14:paraId="6F296CFB" w14:textId="77777777" w:rsidR="005E2967" w:rsidRDefault="005E2967" w:rsidP="005458C8">
      <w:pPr>
        <w:tabs>
          <w:tab w:val="left" w:pos="3504"/>
        </w:tabs>
        <w:spacing w:line="360" w:lineRule="auto"/>
        <w:jc w:val="both"/>
      </w:pPr>
    </w:p>
    <w:p w14:paraId="6D489D71" w14:textId="52ADC347" w:rsidR="003B1316" w:rsidRPr="00822C2D" w:rsidRDefault="00E4147F" w:rsidP="005458C8">
      <w:pPr>
        <w:tabs>
          <w:tab w:val="left" w:pos="3504"/>
        </w:tabs>
        <w:spacing w:line="360" w:lineRule="auto"/>
        <w:jc w:val="both"/>
      </w:pPr>
      <w:r>
        <w:lastRenderedPageBreak/>
        <w:t xml:space="preserve">Για την περιοχή του </w:t>
      </w:r>
      <w:proofErr w:type="spellStart"/>
      <w:r>
        <w:t>Zhoushan</w:t>
      </w:r>
      <w:proofErr w:type="spellEnd"/>
      <w:r>
        <w:t xml:space="preserve">, </w:t>
      </w:r>
      <w:r>
        <w:fldChar w:fldCharType="begin"/>
      </w:r>
      <w:r>
        <w:instrText xml:space="preserve"> REF _Ref225262065 \h  \* MERGEFORMAT </w:instrText>
      </w:r>
      <w:r>
        <w:fldChar w:fldCharType="separate"/>
      </w:r>
      <w:r w:rsidR="00B0043E">
        <w:rPr>
          <w:b/>
          <w:bCs/>
        </w:rPr>
        <w:t>Εικόνα 5</w:t>
      </w:r>
      <w:r>
        <w:fldChar w:fldCharType="end"/>
      </w:r>
      <w:r w:rsidR="00425A3A">
        <w:t>,</w:t>
      </w:r>
      <w:r>
        <w:t xml:space="preserve"> παρουσιάζει τη διαφορά τιμής των εναλλακτικών ναυτιλιακών καυσίμων έναντι του VLSFO. Το LNG αναδεικνύεται στην οικονομικά ανταγωνιστικότερη επιλογή, με πολύ χαμηλή διαφορά τιμής, και επομένως αποτελεί την πλέον βιώσιμη βραχυπρόθεσμη εναλλακτική λύση. Το </w:t>
      </w:r>
      <w:proofErr w:type="spellStart"/>
      <w:r>
        <w:t>βιοντίζελ</w:t>
      </w:r>
      <w:proofErr w:type="spellEnd"/>
      <w:r>
        <w:t xml:space="preserve"> (UCOME) και η </w:t>
      </w:r>
      <w:proofErr w:type="spellStart"/>
      <w:r>
        <w:t>βιομεθανόλη</w:t>
      </w:r>
      <w:proofErr w:type="spellEnd"/>
      <w:r>
        <w:t xml:space="preserve"> παρουσιάζουν σημαντικά υψηλότερη διαφορά τιμής, γεγονός που δείχνει μειωμένη οικονομική ελκυστικότητα υπό τις τρέχουσες συνθήκες της αγοράς. Από τα δύο, η </w:t>
      </w:r>
      <w:proofErr w:type="spellStart"/>
      <w:r>
        <w:t>βιομεθανόλη</w:t>
      </w:r>
      <w:proofErr w:type="spellEnd"/>
      <w:r>
        <w:t xml:space="preserve"> παρουσιάζει την υψηλότερη διαφορά τιμής, η οποία αντανακλά το πρόσθετο κόστος της παραγωγής ανανεώσιμων καυσίμων. Συνολικά, παρατηρείται σαφής ανισότητα κόστους: το LNG παραμένει η ανταγωνιστικότερη επιλογή, ενώ τα καύσιμα βιολογικής προέλευσης, όπως το UCOME και η </w:t>
      </w:r>
      <w:proofErr w:type="spellStart"/>
      <w:r>
        <w:t>βιομεθανόλη</w:t>
      </w:r>
      <w:proofErr w:type="spellEnd"/>
      <w:r>
        <w:t>, εμφανίζονται σημαντικά ακριβότερα στην περιοχή αυτή.</w:t>
      </w:r>
    </w:p>
    <w:p w14:paraId="4E25D00D" w14:textId="77777777" w:rsidR="005458C8" w:rsidRPr="005458C8" w:rsidRDefault="005458C8" w:rsidP="000B7917">
      <w:pPr>
        <w:pStyle w:val="af2"/>
        <w:jc w:val="center"/>
        <w:rPr>
          <w:b/>
          <w:bCs/>
          <w:color w:val="auto"/>
        </w:rPr>
      </w:pPr>
      <w:bookmarkStart w:id="42" w:name="_Ref225263338"/>
    </w:p>
    <w:p w14:paraId="178977CF" w14:textId="1EB40499" w:rsidR="005458C8" w:rsidRPr="005458C8" w:rsidRDefault="005458C8" w:rsidP="000B7917">
      <w:pPr>
        <w:pStyle w:val="af2"/>
        <w:jc w:val="center"/>
        <w:rPr>
          <w:b/>
          <w:bCs/>
          <w:color w:val="auto"/>
        </w:rPr>
      </w:pPr>
      <w:r>
        <w:rPr>
          <w:noProof/>
        </w:rPr>
        <w:drawing>
          <wp:anchor distT="0" distB="0" distL="114300" distR="114300" simplePos="0" relativeHeight="251658253" behindDoc="0" locked="0" layoutInCell="1" allowOverlap="1" wp14:anchorId="1D2638BA" wp14:editId="12F387EC">
            <wp:simplePos x="0" y="0"/>
            <wp:positionH relativeFrom="margin">
              <wp:align>center</wp:align>
            </wp:positionH>
            <wp:positionV relativeFrom="paragraph">
              <wp:posOffset>5715</wp:posOffset>
            </wp:positionV>
            <wp:extent cx="4585970" cy="2571750"/>
            <wp:effectExtent l="0" t="0" r="5080" b="0"/>
            <wp:wrapSquare wrapText="bothSides"/>
            <wp:docPr id="660112715" name="Γράφημα 1">
              <a:extLst xmlns:a="http://schemas.openxmlformats.org/drawingml/2006/main">
                <a:ext uri="{FF2B5EF4-FFF2-40B4-BE49-F238E27FC236}">
                  <a16:creationId xmlns:a16="http://schemas.microsoft.com/office/drawing/2014/main" id="{C81BE2E3-32ED-32A0-6346-DA059B1D24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p w14:paraId="15CCEC7E" w14:textId="250E95F0" w:rsidR="002A11F3" w:rsidRPr="00822C2D" w:rsidRDefault="00F822A6" w:rsidP="000B7917">
      <w:pPr>
        <w:pStyle w:val="af2"/>
        <w:jc w:val="center"/>
        <w:rPr>
          <w:b/>
          <w:bCs/>
          <w:color w:val="auto"/>
        </w:rPr>
      </w:pPr>
      <w:bookmarkStart w:id="43" w:name="_Toc243355371"/>
      <w:r>
        <w:rPr>
          <w:b/>
          <w:bCs/>
          <w:color w:val="auto"/>
        </w:rPr>
        <w:t>Εικόνα</w:t>
      </w:r>
      <w:r w:rsidR="003F4950">
        <w:rPr>
          <w:b/>
          <w:bCs/>
          <w:color w:val="auto"/>
        </w:rPr>
        <w:t xml:space="preserve"> </w:t>
      </w:r>
      <w:r w:rsidR="003F4950">
        <w:rPr>
          <w:b/>
          <w:bCs/>
          <w:color w:val="auto"/>
        </w:rPr>
        <w:fldChar w:fldCharType="begin"/>
      </w:r>
      <w:r w:rsidR="003F4950">
        <w:rPr>
          <w:b/>
          <w:bCs/>
          <w:color w:val="auto"/>
        </w:rPr>
        <w:instrText xml:space="preserve"> SEQ Figure \* ARABIC </w:instrText>
      </w:r>
      <w:r w:rsidR="003F4950">
        <w:rPr>
          <w:b/>
          <w:bCs/>
          <w:color w:val="auto"/>
        </w:rPr>
        <w:fldChar w:fldCharType="separate"/>
      </w:r>
      <w:r w:rsidR="00B0043E">
        <w:rPr>
          <w:b/>
          <w:bCs/>
          <w:noProof/>
          <w:color w:val="auto"/>
        </w:rPr>
        <w:t>6</w:t>
      </w:r>
      <w:r w:rsidR="003F4950">
        <w:rPr>
          <w:b/>
          <w:bCs/>
          <w:color w:val="auto"/>
        </w:rPr>
        <w:fldChar w:fldCharType="end"/>
      </w:r>
      <w:bookmarkEnd w:id="42"/>
      <w:r w:rsidR="003F4950">
        <w:rPr>
          <w:b/>
          <w:bCs/>
          <w:color w:val="auto"/>
        </w:rPr>
        <w:t xml:space="preserve">: Διαφορά τιμής των εναλλακτικών ναυτιλιακών καυσίμων έναντι του VLSFO στην περιοχή του </w:t>
      </w:r>
      <w:proofErr w:type="spellStart"/>
      <w:r w:rsidR="003F4950">
        <w:rPr>
          <w:b/>
          <w:bCs/>
          <w:color w:val="auto"/>
        </w:rPr>
        <w:t>Λος</w:t>
      </w:r>
      <w:proofErr w:type="spellEnd"/>
      <w:r w:rsidR="003F4950">
        <w:rPr>
          <w:b/>
          <w:bCs/>
          <w:color w:val="auto"/>
        </w:rPr>
        <w:t xml:space="preserve"> </w:t>
      </w:r>
      <w:proofErr w:type="spellStart"/>
      <w:r w:rsidR="003F4950">
        <w:rPr>
          <w:b/>
          <w:bCs/>
          <w:color w:val="auto"/>
        </w:rPr>
        <w:t>Άντζελες</w:t>
      </w:r>
      <w:bookmarkEnd w:id="43"/>
      <w:proofErr w:type="spellEnd"/>
    </w:p>
    <w:p w14:paraId="61843867" w14:textId="4C1F48C6" w:rsidR="00FC6301" w:rsidRDefault="003F4950" w:rsidP="00185EFB">
      <w:pPr>
        <w:spacing w:line="360" w:lineRule="auto"/>
        <w:jc w:val="both"/>
      </w:pPr>
      <w:r>
        <w:t xml:space="preserve">Για την περιοχή του </w:t>
      </w:r>
      <w:proofErr w:type="spellStart"/>
      <w:r>
        <w:t>Λος</w:t>
      </w:r>
      <w:proofErr w:type="spellEnd"/>
      <w:r>
        <w:t xml:space="preserve"> </w:t>
      </w:r>
      <w:proofErr w:type="spellStart"/>
      <w:r>
        <w:t>Άντζελες</w:t>
      </w:r>
      <w:proofErr w:type="spellEnd"/>
      <w:r>
        <w:t>,</w:t>
      </w:r>
      <w:r w:rsidR="00425A3A">
        <w:t xml:space="preserve"> </w:t>
      </w:r>
      <w:r>
        <w:fldChar w:fldCharType="begin"/>
      </w:r>
      <w:r>
        <w:instrText xml:space="preserve"> REF _Ref225263338 \h  \* MERGEFORMAT </w:instrText>
      </w:r>
      <w:r>
        <w:fldChar w:fldCharType="separate"/>
      </w:r>
      <w:r w:rsidR="00B0043E">
        <w:rPr>
          <w:b/>
          <w:bCs/>
        </w:rPr>
        <w:t xml:space="preserve">Εικόνα </w:t>
      </w:r>
      <w:r w:rsidR="00B0043E">
        <w:rPr>
          <w:b/>
          <w:bCs/>
          <w:noProof/>
        </w:rPr>
        <w:t>6</w:t>
      </w:r>
      <w:r>
        <w:fldChar w:fldCharType="end"/>
      </w:r>
      <w:r w:rsidR="00425A3A">
        <w:t>,</w:t>
      </w:r>
      <w:r>
        <w:t xml:space="preserve"> παρουσιάζει τη διαφορά τιμής των εναλλακτικών ναυτιλιακών καυσίμων έναντι του VLSFO. Το </w:t>
      </w:r>
      <w:proofErr w:type="spellStart"/>
      <w:r>
        <w:t>βιοντίζελ</w:t>
      </w:r>
      <w:proofErr w:type="spellEnd"/>
      <w:r>
        <w:t xml:space="preserve"> (B30) και το ανανεώσιμο ντίζελ παρουσιάζουν μέτρια διαφορά τιμής, γεγονός που υποδηλώνει ότι μπορούν να αποτελέσουν βιώσιμα μεταβατικά καύσιμα, τα οποία εφαρμόζονται με ελάχιστες τροποποιήσεις στις υφιστάμενες μηχανές. Αντίθετα, το υδρογόνο παρουσιάζει σημαντικά υψηλότερη διαφορά τιμής, γεγονός που αναδεικνύει την περιορισμένη οικονομική του σκοπιμότητα υπό τις τρέχουσες συνθήκες της αγοράς. Τα αποτελέσματα καταδεικνύουν σαφή ανισότητα κόστους: τα καύσιμα άμεσης αντικατάστασης (</w:t>
      </w:r>
      <w:proofErr w:type="spellStart"/>
      <w:r>
        <w:t>drop</w:t>
      </w:r>
      <w:proofErr w:type="spellEnd"/>
      <w:r>
        <w:t xml:space="preserve">-in), όπως το </w:t>
      </w:r>
      <w:proofErr w:type="spellStart"/>
      <w:r>
        <w:t>βιοντίζελ</w:t>
      </w:r>
      <w:proofErr w:type="spellEnd"/>
      <w:r>
        <w:t xml:space="preserve"> και το ανανεώσιμο ντίζελ, είναι </w:t>
      </w:r>
      <w:r>
        <w:lastRenderedPageBreak/>
        <w:t>οικονομικά ελκυστικότερα</w:t>
      </w:r>
      <w:r w:rsidR="00FC6301" w:rsidRPr="00FC6301">
        <w:t xml:space="preserve"> </w:t>
      </w:r>
      <w:r>
        <w:t xml:space="preserve">βραχυπρόθεσμα, ενώ το υδρογόνο παραμένει σημαντικά ακριβότερο και καταλληλότερο </w:t>
      </w:r>
      <w:r w:rsidR="00FC6301">
        <w:rPr>
          <w:noProof/>
        </w:rPr>
        <mc:AlternateContent>
          <mc:Choice Requires="wps">
            <w:drawing>
              <wp:anchor distT="0" distB="0" distL="114300" distR="114300" simplePos="0" relativeHeight="251658252" behindDoc="0" locked="0" layoutInCell="1" allowOverlap="1" wp14:anchorId="3F11A7A6" wp14:editId="68452D93">
                <wp:simplePos x="0" y="0"/>
                <wp:positionH relativeFrom="margin">
                  <wp:align>center</wp:align>
                </wp:positionH>
                <wp:positionV relativeFrom="paragraph">
                  <wp:posOffset>3030220</wp:posOffset>
                </wp:positionV>
                <wp:extent cx="5201920" cy="457200"/>
                <wp:effectExtent l="0" t="0" r="0" b="0"/>
                <wp:wrapSquare wrapText="bothSides"/>
                <wp:docPr id="808123625" name="Πλαίσιο κειμένου 1"/>
                <wp:cNvGraphicFramePr/>
                <a:graphic xmlns:a="http://schemas.openxmlformats.org/drawingml/2006/main">
                  <a:graphicData uri="http://schemas.microsoft.com/office/word/2010/wordprocessingShape">
                    <wps:wsp>
                      <wps:cNvSpPr txBox="1"/>
                      <wps:spPr>
                        <a:xfrm>
                          <a:off x="0" y="0"/>
                          <a:ext cx="5201920" cy="457200"/>
                        </a:xfrm>
                        <a:prstGeom prst="rect">
                          <a:avLst/>
                        </a:prstGeom>
                        <a:solidFill>
                          <a:prstClr val="white"/>
                        </a:solidFill>
                        <a:ln>
                          <a:noFill/>
                        </a:ln>
                      </wps:spPr>
                      <wps:txbx>
                        <w:txbxContent>
                          <w:p w14:paraId="185A954E" w14:textId="7CF26894" w:rsidR="00CA36FE" w:rsidRPr="00CA36FE" w:rsidRDefault="00F822A6" w:rsidP="00CA36FE">
                            <w:pPr>
                              <w:pStyle w:val="af2"/>
                              <w:jc w:val="center"/>
                              <w:rPr>
                                <w:b/>
                                <w:bCs/>
                                <w:noProof/>
                              </w:rPr>
                            </w:pPr>
                            <w:bookmarkStart w:id="44" w:name="_Ref225265117"/>
                            <w:bookmarkStart w:id="45" w:name="_Toc243077684"/>
                            <w:bookmarkStart w:id="46" w:name="_Toc243355372"/>
                            <w:r>
                              <w:rPr>
                                <w:b/>
                                <w:bCs/>
                              </w:rPr>
                              <w:t>Εικόνα</w:t>
                            </w:r>
                            <w:r w:rsidR="00CA36FE">
                              <w:rPr>
                                <w:b/>
                                <w:bCs/>
                              </w:rPr>
                              <w:t xml:space="preserve"> </w:t>
                            </w:r>
                            <w:r w:rsidR="00CA36FE">
                              <w:rPr>
                                <w:b/>
                                <w:bCs/>
                              </w:rPr>
                              <w:fldChar w:fldCharType="begin"/>
                            </w:r>
                            <w:r w:rsidR="00CA36FE">
                              <w:rPr>
                                <w:b/>
                                <w:bCs/>
                              </w:rPr>
                              <w:instrText xml:space="preserve"> SEQ Figure \* ARABIC </w:instrText>
                            </w:r>
                            <w:r w:rsidR="00CA36FE">
                              <w:rPr>
                                <w:b/>
                                <w:bCs/>
                              </w:rPr>
                              <w:fldChar w:fldCharType="separate"/>
                            </w:r>
                            <w:r w:rsidR="00B0043E">
                              <w:rPr>
                                <w:b/>
                                <w:bCs/>
                                <w:noProof/>
                              </w:rPr>
                              <w:t>7</w:t>
                            </w:r>
                            <w:r w:rsidR="00CA36FE">
                              <w:rPr>
                                <w:b/>
                                <w:bCs/>
                              </w:rPr>
                              <w:fldChar w:fldCharType="end"/>
                            </w:r>
                            <w:bookmarkEnd w:id="44"/>
                            <w:r w:rsidR="00CA36FE">
                              <w:rPr>
                                <w:b/>
                                <w:bCs/>
                              </w:rPr>
                              <w:t>: Διαφορά τιμής των εναλλακτικών ναυτιλιακών καυσίμων έναντι του VLSFO στην περιοχή του Γιβραλτάρ</w:t>
                            </w:r>
                            <w:bookmarkEnd w:id="45"/>
                            <w:bookmarkEnd w:id="4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F11A7A6" id="_x0000_s1031" type="#_x0000_t202" style="position:absolute;left:0;text-align:left;margin-left:0;margin-top:238.6pt;width:409.6pt;height:36pt;z-index:25165825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" stroked="f">
                <v:textbox inset="0,0,0,0">
                  <w:txbxContent>
                    <w:p w14:paraId="185A954E" w14:textId="7CF26894" w:rsidR="00CA36FE" w:rsidRPr="00CA36FE" w:rsidRDefault="00F822A6" w:rsidP="00CA36FE">
                      <w:pPr>
                        <w:pStyle w:val="af2"/>
                        <w:jc w:val="center"/>
                        <w:rPr>
                          <w:b/>
                          <w:bCs/>
                          <w:noProof/>
                        </w:rPr>
                      </w:pPr>
                      <w:bookmarkStart w:id="47" w:name="_Ref225265117"/>
                      <w:bookmarkStart w:id="48" w:name="_Toc243077684"/>
                      <w:bookmarkStart w:id="49" w:name="_Toc243355372"/>
                      <w:r>
                        <w:rPr>
                          <w:b/>
                          <w:bCs/>
                        </w:rPr>
                        <w:t>Εικόνα</w:t>
                      </w:r>
                      <w:r w:rsidR="00CA36FE">
                        <w:rPr>
                          <w:b/>
                          <w:bCs/>
                        </w:rPr>
                        <w:t xml:space="preserve"> </w:t>
                      </w:r>
                      <w:r w:rsidR="00CA36FE">
                        <w:rPr>
                          <w:b/>
                          <w:bCs/>
                        </w:rPr>
                        <w:fldChar w:fldCharType="begin"/>
                      </w:r>
                      <w:r w:rsidR="00CA36FE">
                        <w:rPr>
                          <w:b/>
                          <w:bCs/>
                        </w:rPr>
                        <w:instrText xml:space="preserve"> SEQ Figure \* ARABIC </w:instrText>
                      </w:r>
                      <w:r w:rsidR="00CA36FE">
                        <w:rPr>
                          <w:b/>
                          <w:bCs/>
                        </w:rPr>
                        <w:fldChar w:fldCharType="separate"/>
                      </w:r>
                      <w:r w:rsidR="00B0043E">
                        <w:rPr>
                          <w:b/>
                          <w:bCs/>
                          <w:noProof/>
                        </w:rPr>
                        <w:t>7</w:t>
                      </w:r>
                      <w:r w:rsidR="00CA36FE">
                        <w:rPr>
                          <w:b/>
                          <w:bCs/>
                        </w:rPr>
                        <w:fldChar w:fldCharType="end"/>
                      </w:r>
                      <w:bookmarkEnd w:id="47"/>
                      <w:r w:rsidR="00CA36FE">
                        <w:rPr>
                          <w:b/>
                          <w:bCs/>
                        </w:rPr>
                        <w:t>: Διαφορά τιμής των εναλλακτικών ναυτιλιακών καυσίμων έναντι του VLSFO στην περιοχή του Γιβραλτάρ</w:t>
                      </w:r>
                      <w:bookmarkEnd w:id="48"/>
                      <w:bookmarkEnd w:id="49"/>
                    </w:p>
                  </w:txbxContent>
                </v:textbox>
                <w10:wrap type="square" anchorx="margin"/>
              </v:shape>
            </w:pict>
          </mc:Fallback>
        </mc:AlternateContent>
      </w:r>
      <w:r w:rsidR="00FC6301">
        <w:rPr>
          <w:noProof/>
        </w:rPr>
        <w:drawing>
          <wp:anchor distT="0" distB="0" distL="114300" distR="114300" simplePos="0" relativeHeight="251658251" behindDoc="0" locked="0" layoutInCell="1" allowOverlap="1" wp14:anchorId="1E8335E7" wp14:editId="38C13271">
            <wp:simplePos x="0" y="0"/>
            <wp:positionH relativeFrom="margin">
              <wp:align>center</wp:align>
            </wp:positionH>
            <wp:positionV relativeFrom="paragraph">
              <wp:posOffset>557530</wp:posOffset>
            </wp:positionV>
            <wp:extent cx="5182870" cy="2419350"/>
            <wp:effectExtent l="0" t="0" r="0" b="0"/>
            <wp:wrapSquare wrapText="bothSides"/>
            <wp:docPr id="350594424" name="Γράφημα 1">
              <a:extLst xmlns:a="http://schemas.openxmlformats.org/drawingml/2006/main">
                <a:ext uri="{FF2B5EF4-FFF2-40B4-BE49-F238E27FC236}">
                  <a16:creationId xmlns:a16="http://schemas.microsoft.com/office/drawing/2014/main" id="{8F83D3ED-F446-419B-0635-5ACD20E3A7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r>
        <w:t>ως μακροπρόθεσμη λύση.</w:t>
      </w:r>
    </w:p>
    <w:p w14:paraId="236143D1" w14:textId="72571454" w:rsidR="00D123A0" w:rsidRPr="00425A3A" w:rsidRDefault="00FC6301" w:rsidP="00185EFB">
      <w:pPr>
        <w:spacing w:line="360" w:lineRule="auto"/>
        <w:jc w:val="both"/>
      </w:pPr>
      <w:r>
        <w:rPr>
          <w:noProof/>
        </w:rPr>
        <w:drawing>
          <wp:anchor distT="0" distB="0" distL="114300" distR="114300" simplePos="0" relativeHeight="251658254" behindDoc="0" locked="0" layoutInCell="1" allowOverlap="1" wp14:anchorId="1048E524" wp14:editId="5E93D087">
            <wp:simplePos x="0" y="0"/>
            <wp:positionH relativeFrom="margin">
              <wp:align>left</wp:align>
            </wp:positionH>
            <wp:positionV relativeFrom="paragraph">
              <wp:posOffset>5629910</wp:posOffset>
            </wp:positionV>
            <wp:extent cx="5514975" cy="1981200"/>
            <wp:effectExtent l="0" t="0" r="0" b="0"/>
            <wp:wrapSquare wrapText="bothSides"/>
            <wp:docPr id="2014957259" name="Γράφημα 1">
              <a:extLst xmlns:a="http://schemas.openxmlformats.org/drawingml/2006/main">
                <a:ext uri="{FF2B5EF4-FFF2-40B4-BE49-F238E27FC236}">
                  <a16:creationId xmlns:a16="http://schemas.microsoft.com/office/drawing/2014/main" id="{44F2F09F-D4AA-AB77-BA50-C40EDD2F45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r w:rsidR="00185EFB">
        <w:t xml:space="preserve">Για την περιοχή του Γιβραλτάρ, </w:t>
      </w:r>
      <w:r w:rsidR="00185EFB">
        <w:fldChar w:fldCharType="begin"/>
      </w:r>
      <w:r w:rsidR="00185EFB">
        <w:instrText xml:space="preserve"> REF _Ref225265117 \h  \* MERGEFORMAT </w:instrText>
      </w:r>
      <w:r w:rsidR="00185EFB">
        <w:fldChar w:fldCharType="separate"/>
      </w:r>
      <w:r w:rsidR="00B0043E">
        <w:rPr>
          <w:b/>
          <w:bCs/>
        </w:rPr>
        <w:t>Εικόνα 7</w:t>
      </w:r>
      <w:r w:rsidR="00185EFB">
        <w:fldChar w:fldCharType="end"/>
      </w:r>
      <w:r w:rsidR="00425A3A">
        <w:t>,</w:t>
      </w:r>
      <w:r w:rsidR="00185EFB">
        <w:t xml:space="preserve"> παρουσιάζει τη διαφορά τιμής των εναλλακτικών ναυτιλιακών καυσίμων έναντι του VLSFO. Το </w:t>
      </w:r>
      <w:proofErr w:type="spellStart"/>
      <w:r w:rsidR="00185EFB">
        <w:t>βιοντίζελ</w:t>
      </w:r>
      <w:proofErr w:type="spellEnd"/>
      <w:r w:rsidR="00185EFB">
        <w:t xml:space="preserve"> (B24 UCOME) παρουσιάζει μέτρια διαφορά τιμής, γεγονός που ενισχύει τον ρόλο του ως εφικτού μεταβατικού καυσίμου. Αντίθετα, το </w:t>
      </w:r>
      <w:proofErr w:type="spellStart"/>
      <w:r w:rsidR="00185EFB">
        <w:t>bio</w:t>
      </w:r>
      <w:proofErr w:type="spellEnd"/>
      <w:r w:rsidR="00185EFB">
        <w:t xml:space="preserve">-LNG παρουσιάζει σημαντικά υψηλότερη διαφορά τιμής, η οποία αντανακλά το πρόσθετο κόστος της παραγωγής ανανεώσιμων καυσίμων και των σχετικών εφοδιαστικών αλυσίδων. Αυτό υποδηλώνει ότι, παρά τα περιβαλλοντικά του οφέλη, το </w:t>
      </w:r>
      <w:proofErr w:type="spellStart"/>
      <w:r w:rsidR="00185EFB">
        <w:t>bio</w:t>
      </w:r>
      <w:proofErr w:type="spellEnd"/>
      <w:r w:rsidR="00185EFB">
        <w:t xml:space="preserve">-LNG είναι επί του παρόντος λιγότερο ανταγωνιστικό από το </w:t>
      </w:r>
      <w:proofErr w:type="spellStart"/>
      <w:r w:rsidR="00185EFB">
        <w:t>βιοντίζελ</w:t>
      </w:r>
      <w:proofErr w:type="spellEnd"/>
      <w:r w:rsidR="00185EFB">
        <w:t xml:space="preserve">. Συνολικά, το </w:t>
      </w:r>
      <w:proofErr w:type="spellStart"/>
      <w:r w:rsidR="00185EFB">
        <w:t>βιοντίζελ</w:t>
      </w:r>
      <w:proofErr w:type="spellEnd"/>
      <w:r w:rsidR="00185EFB">
        <w:t xml:space="preserve"> παραμένει η οικονομικά ελκυστικότερη επιλογή βραχυπρόθεσμα, ενώ το </w:t>
      </w:r>
      <w:proofErr w:type="spellStart"/>
      <w:r w:rsidR="00185EFB">
        <w:t>bio</w:t>
      </w:r>
      <w:proofErr w:type="spellEnd"/>
      <w:r w:rsidR="00185EFB">
        <w:t>-LNG αντιμετωπίζει προκλήσεις κόστους.</w:t>
      </w:r>
    </w:p>
    <w:p w14:paraId="731994A4" w14:textId="77777777" w:rsidR="005E2967" w:rsidRDefault="005E2967" w:rsidP="00425A3A">
      <w:pPr>
        <w:pStyle w:val="af2"/>
        <w:jc w:val="both"/>
        <w:rPr>
          <w:b/>
          <w:bCs/>
          <w:color w:val="auto"/>
        </w:rPr>
      </w:pPr>
      <w:bookmarkStart w:id="50" w:name="_Ref225266577"/>
      <w:bookmarkStart w:id="51" w:name="_Toc243355373"/>
    </w:p>
    <w:p w14:paraId="657380F7" w14:textId="67B3ADA6" w:rsidR="007E7D5A" w:rsidRPr="00822C2D" w:rsidRDefault="00F822A6" w:rsidP="008E34BA">
      <w:pPr>
        <w:pStyle w:val="af2"/>
        <w:jc w:val="center"/>
        <w:rPr>
          <w:b/>
          <w:bCs/>
          <w:color w:val="auto"/>
        </w:rPr>
      </w:pPr>
      <w:r>
        <w:rPr>
          <w:b/>
          <w:bCs/>
          <w:color w:val="auto"/>
        </w:rPr>
        <w:t>Εικόνα</w:t>
      </w:r>
      <w:r w:rsidR="00A94602">
        <w:rPr>
          <w:b/>
          <w:bCs/>
          <w:color w:val="auto"/>
        </w:rPr>
        <w:t xml:space="preserve"> </w:t>
      </w:r>
      <w:r w:rsidR="00A94602">
        <w:rPr>
          <w:b/>
          <w:bCs/>
          <w:color w:val="auto"/>
        </w:rPr>
        <w:fldChar w:fldCharType="begin"/>
      </w:r>
      <w:r w:rsidR="00A94602">
        <w:rPr>
          <w:b/>
          <w:bCs/>
          <w:color w:val="auto"/>
        </w:rPr>
        <w:instrText xml:space="preserve"> SEQ Figure \* ARABIC </w:instrText>
      </w:r>
      <w:r w:rsidR="00A94602">
        <w:rPr>
          <w:b/>
          <w:bCs/>
          <w:color w:val="auto"/>
        </w:rPr>
        <w:fldChar w:fldCharType="separate"/>
      </w:r>
      <w:r w:rsidR="00B0043E">
        <w:rPr>
          <w:b/>
          <w:bCs/>
          <w:noProof/>
          <w:color w:val="auto"/>
        </w:rPr>
        <w:t>8</w:t>
      </w:r>
      <w:r w:rsidR="00A94602">
        <w:rPr>
          <w:b/>
          <w:bCs/>
          <w:color w:val="auto"/>
        </w:rPr>
        <w:fldChar w:fldCharType="end"/>
      </w:r>
      <w:bookmarkEnd w:id="50"/>
      <w:r w:rsidR="00A94602">
        <w:rPr>
          <w:b/>
          <w:bCs/>
          <w:color w:val="auto"/>
        </w:rPr>
        <w:t>: Διαφορά τιμής των εναλλακτικών ναυτιλιακών καυσίμων έναντι του VLSFO στην περιοχή της Νότιας Βραζιλίας</w:t>
      </w:r>
      <w:bookmarkEnd w:id="51"/>
    </w:p>
    <w:p w14:paraId="1B276DFB" w14:textId="00E85C9F" w:rsidR="00C73E04" w:rsidRPr="00822C2D" w:rsidRDefault="00C73E04" w:rsidP="00185EFB">
      <w:pPr>
        <w:spacing w:line="360" w:lineRule="auto"/>
        <w:jc w:val="both"/>
      </w:pPr>
      <w:r>
        <w:lastRenderedPageBreak/>
        <w:t>Για την περιοχή της Νότιας Βραζιλίας,</w:t>
      </w:r>
      <w:r w:rsidR="00425A3A">
        <w:t xml:space="preserve"> </w:t>
      </w:r>
      <w:r>
        <w:fldChar w:fldCharType="begin"/>
      </w:r>
      <w:r>
        <w:instrText xml:space="preserve"> REF _Ref225266577 \h  \* MERGEFORMAT </w:instrText>
      </w:r>
      <w:r>
        <w:fldChar w:fldCharType="separate"/>
      </w:r>
      <w:r w:rsidR="00B0043E">
        <w:rPr>
          <w:b/>
          <w:bCs/>
        </w:rPr>
        <w:t>Εικόνα 8</w:t>
      </w:r>
      <w:r>
        <w:fldChar w:fldCharType="end"/>
      </w:r>
      <w:r w:rsidR="00425A3A">
        <w:t>,</w:t>
      </w:r>
      <w:r>
        <w:t xml:space="preserve"> παρουσιάζει τη διαφορά τιμής των εναλλακτικών ναυτιλιακών καυσίμων έναντι του VLSFO. Όλα τα καύσιμα που εξετάζονται είναι μείγματα </w:t>
      </w:r>
      <w:proofErr w:type="spellStart"/>
      <w:r>
        <w:t>βιοντίζελ</w:t>
      </w:r>
      <w:proofErr w:type="spellEnd"/>
      <w:r>
        <w:t xml:space="preserve"> B24 που προέρχονται από διαφορετικές πρώτες ύλες, γεγονός που επιτρέπει την άμεση σύγκρισή τους υπό ενιαίες συνθήκες ανάμειξης. Από αυτά, το B24 FAME παρουσιάζει τη χαμηλότερη διαφορά τιμής και, επομένως, την υψηλότερη οικονομική ανταγωνιστικότητα. Ακολουθεί το B24 Soya OME (</w:t>
      </w:r>
      <w:proofErr w:type="spellStart"/>
      <w:r>
        <w:t>Soyabean</w:t>
      </w:r>
      <w:proofErr w:type="spellEnd"/>
      <w:r>
        <w:t xml:space="preserve"> </w:t>
      </w:r>
      <w:proofErr w:type="spellStart"/>
      <w:r>
        <w:t>Oxymethylene</w:t>
      </w:r>
      <w:proofErr w:type="spellEnd"/>
      <w:r>
        <w:t xml:space="preserve"> </w:t>
      </w:r>
      <w:proofErr w:type="spellStart"/>
      <w:r>
        <w:t>Ether</w:t>
      </w:r>
      <w:proofErr w:type="spellEnd"/>
      <w:r>
        <w:t xml:space="preserve">) με ελαφρώς υψηλότερο κόστος, ενώ το B24 UCOME παρουσιάζει την υψηλότερη διαφορά τιμής από τα τρία. Η διακύμανση αυτή αναδεικνύει την επίδραση του τύπου της πρώτης ύλης και της οδού παραγωγής στην τιμολόγηση του καυσίμου, ακόμη και για ίδιες αναλογίες ανάμειξης. Συνολικά, τα αποτελέσματα υποδηλώνουν ότι το συμβατικό </w:t>
      </w:r>
      <w:proofErr w:type="spellStart"/>
      <w:r>
        <w:t>βιοντίζελ</w:t>
      </w:r>
      <w:proofErr w:type="spellEnd"/>
      <w:r>
        <w:t xml:space="preserve"> (FAME) παραμένει η οικονομικά αποδοτικότερη επιλογή στην περιοχή αυτή, ενώ εναλλακτικές λύσεις με μεγαλύτερο βαθμό επεξεργασίας ή προερχόμενες από απόβλητα, όπως το UCOME και το OME, συνδέονται με υψηλότερο κόστος παρά τα περιβαλλοντικά τους οφέλη.</w:t>
      </w:r>
    </w:p>
    <w:p w14:paraId="52B2FF63" w14:textId="0210249C" w:rsidR="00185EFB" w:rsidRPr="00822C2D" w:rsidRDefault="00631C45" w:rsidP="002700FA">
      <w:pPr>
        <w:spacing w:line="360" w:lineRule="auto"/>
        <w:ind w:firstLine="576"/>
        <w:jc w:val="both"/>
      </w:pPr>
      <w:r>
        <w:t xml:space="preserve">Τα δεδομένα που χρησιμοποιήθηκαν στην ανάλυση αυτή προέρχονται από την </w:t>
      </w:r>
      <w:proofErr w:type="spellStart"/>
      <w:r>
        <w:t>Argus</w:t>
      </w:r>
      <w:proofErr w:type="spellEnd"/>
      <w:r>
        <w:t xml:space="preserve"> </w:t>
      </w:r>
      <w:proofErr w:type="spellStart"/>
      <w:r>
        <w:t>Media</w:t>
      </w:r>
      <w:proofErr w:type="spellEnd"/>
      <w:r>
        <w:t xml:space="preserve"> και συγκεκριμένα από το σύνολο δεδομένων «</w:t>
      </w:r>
      <w:proofErr w:type="spellStart"/>
      <w:r>
        <w:t>Argus</w:t>
      </w:r>
      <w:proofErr w:type="spellEnd"/>
      <w:r>
        <w:t xml:space="preserve"> </w:t>
      </w:r>
      <w:proofErr w:type="spellStart"/>
      <w:r>
        <w:t>Alternative</w:t>
      </w:r>
      <w:proofErr w:type="spellEnd"/>
      <w:r>
        <w:t xml:space="preserve"> </w:t>
      </w:r>
      <w:proofErr w:type="spellStart"/>
      <w:r>
        <w:t>Marine</w:t>
      </w:r>
      <w:proofErr w:type="spellEnd"/>
      <w:r>
        <w:t xml:space="preserve"> </w:t>
      </w:r>
      <w:proofErr w:type="spellStart"/>
      <w:r>
        <w:t>Fuels</w:t>
      </w:r>
      <w:proofErr w:type="spellEnd"/>
      <w:r>
        <w:t xml:space="preserve">», με αξιολογήσεις τιμών της 28ης Ιανουαρίου 2026 </w:t>
      </w:r>
      <w:r>
        <w:fldChar w:fldCharType="begin"/>
      </w:r>
      <w:r>
        <w:instrText xml:space="preserve"> ADDIN ZOTERO_ITEM CSL_CITATION {"citationID":"kjsr9A3u","properties":{"unsorted":false,"formattedCitation":"[29]","plainCitation":"[29]","noteIndex":0},"citationItems":[{"id":106,"uris":["http://zotero.org/users/19904160/items/C32JYZIF"],"itemData":{"id":106,"type":"webpage","abstract":"Discover insights on marine gas oil, marine diesel and alternative fuels for ships and vehicles. Learn about pricing and sustainable fuel solutions for the future.","language":"en","title":"Alternative Marine Fuels &amp; Marine Gas Oil Insights | Argus Media","URL":"https://www.argusmedia.com/en/news-and-insights/topical-market-themes/alternative-marine-fuels","accessed":{"date-parts":[["2026",3,23]]}}}],"schema":"https://github.com/citation-style-language/schema/raw/master/csl-citation.json"} </w:instrText>
      </w:r>
      <w:r>
        <w:fldChar w:fldCharType="separate"/>
      </w:r>
      <w:r>
        <w:rPr>
          <w:rFonts w:cs="Times New Roman"/>
        </w:rPr>
        <w:t>[29]</w:t>
      </w:r>
      <w:r>
        <w:fldChar w:fldCharType="end"/>
      </w:r>
      <w:r>
        <w:t xml:space="preserve">, το οποίο παρέχει αξιολογήσεις τιμών βάσει αγοράς για συμβατικά και εναλλακτικά ναυτιλιακά καύσιμα στους μεγαλύτερους κόμβους εφοδιασμού καυσίμων παγκοσμίως. Η </w:t>
      </w:r>
      <w:proofErr w:type="spellStart"/>
      <w:r>
        <w:t>Argus</w:t>
      </w:r>
      <w:proofErr w:type="spellEnd"/>
      <w:r>
        <w:t xml:space="preserve"> </w:t>
      </w:r>
      <w:proofErr w:type="spellStart"/>
      <w:r>
        <w:t>Media</w:t>
      </w:r>
      <w:proofErr w:type="spellEnd"/>
      <w:r>
        <w:t xml:space="preserve"> είναι ευρέως αναγνωρισμένη στους τομείς της ναυτιλίας και της ενέργειας για την παραγωγή αξιόπιστων και αντιπροσωπευτικών δεικτών τιμών, οι οποίοι αντανακλούν τις πραγματικές συνθήκες της αγοράς. Οι αναφερόμενες τιμές προκύπτουν από συνδυασμό πραγματικών συναλλαγών, προσφορών αγοράς και πώλησης και πληροφοριών της αγοράς, που συλλέγονται από ευρύ φάσμα συμμετεχόντων του κλάδου, όπως παραγωγούς, εμπόρους και μεσίτες. Επιπλέον, η </w:t>
      </w:r>
      <w:proofErr w:type="spellStart"/>
      <w:r>
        <w:t>Argus</w:t>
      </w:r>
      <w:proofErr w:type="spellEnd"/>
      <w:r>
        <w:t xml:space="preserve"> εφαρμόζει μια διαφανή μεθοδολογία, η οποία επανεξετάζεται τακτικά και έχει σχεδιαστεί ώστε οι αξιολογήσεις τιμών να είναι συνεπείς, αμερόληπτες και να αντανακλούν τη ρευστότητα της αγοράς και τις πρακτικές συναλλαγών. Ως εκ τούτου, το σύνολο δεδομένων μπορεί να θεωρηθεί αξιόπιστη και αποδεκτή από τον κλάδο βάση για τεχνικοοικονομικές συγκρίσεις εναλλακτικών ναυτιλιακών καυσίμων, με την επιφύλαξη ότι η περιορισμένη διαθεσιμότητα δεδομένων στις αναδυόμενες αγορές καυσίμων ενδέχεται να επηρεάζει την πληρότητά του. Λόγω διαφορών στη συχνότητα δημοσίευσης, τα δεδομένα πρέπει να θεωρούνται ενδεικτικά και όχι άμεσα συγκρίσιμα. Ορισμένες τιμές </w:t>
      </w:r>
      <w:r>
        <w:lastRenderedPageBreak/>
        <w:t>αξιολογούνται σε ημερήσια βάση, ενώ άλλες δημοσιεύονται ως εβδομαδιαίες αξιολογήσεις, εβδομαδιαία στιγμιότυπα ή μηνιαίοι μέσοι όροι. Επιπλέον, οι αναφερόμενες τιμές βασίζονται σε διαφορετικές βάσεις τιμολόγησης και όρους παράδοσης, όπως FOB (Free on Board), παράδοση επί του πλοίου (</w:t>
      </w:r>
      <w:proofErr w:type="spellStart"/>
      <w:r>
        <w:t>delivered</w:t>
      </w:r>
      <w:proofErr w:type="spellEnd"/>
      <w:r>
        <w:t>-on-</w:t>
      </w:r>
      <w:proofErr w:type="spellStart"/>
      <w:r>
        <w:t>board</w:t>
      </w:r>
      <w:proofErr w:type="spellEnd"/>
      <w:r>
        <w:t>, DOB), παράδοση με φορτηγίδα ή CFR (</w:t>
      </w:r>
      <w:proofErr w:type="spellStart"/>
      <w:r>
        <w:t>Cost</w:t>
      </w:r>
      <w:proofErr w:type="spellEnd"/>
      <w:r>
        <w:t xml:space="preserve"> and </w:t>
      </w:r>
      <w:proofErr w:type="spellStart"/>
      <w:r>
        <w:t>Freight</w:t>
      </w:r>
      <w:proofErr w:type="spellEnd"/>
      <w:r>
        <w:t>). Οι διακρίσεις αυτές αντανακλούν διαφορές ως προς το αν περιλαμβάνονται το κόστος μεταφοράς, διακίνησης και τα συναφή κόστη, γεγονός που καθιστά λιγότερο απλή την άμεση σύγκριση των τιμών. Επομένως, οι τιμές που παρουσιάζονται στα διαγράμματα είναι ενδεικτικές και δεν πρέπει να θεωρούνται ακριβείς τιμές αναφοράς.</w:t>
      </w:r>
    </w:p>
    <w:p w14:paraId="78F5AEB3" w14:textId="754FBE9D" w:rsidR="000B7917" w:rsidRPr="00822C2D" w:rsidRDefault="007E7D5A" w:rsidP="00EE7D11">
      <w:pPr>
        <w:spacing w:line="360" w:lineRule="auto"/>
        <w:ind w:firstLine="576"/>
        <w:jc w:val="both"/>
      </w:pPr>
      <w:r>
        <w:t>Δεν είναι όλα τα εναλλακτικά καύσιμα διαθέσιμα σε όλες τις περιοχές, καθώς η παρουσία τους εξαρτάται από παράγοντες όπως η τοπική παραγωγική ικανότητα, οι υποδομές εφοδιασμού και η ωριμότητα της αγοράς. Σε αρκετές περιπτώσεις, η απουσία συγκεκριμένων καυσίμων δεν σημαίνει ότι αυτά δεν υπάρχουν, αλλά ότι δεν υπάρχει επαρκώς ανεπτυγμένη ή ρευστή αγορά που να επιτρέπει αξιόπιστη τιμολόγηση. Το γεγονός αυτό αναδεικνύει την άνιση γεωγραφική ανάπτυξη των αγορών εναλλακτικών ναυτιλιακών καυσίμων και τις προκλήσεις που συνδέονται με την παγκόσμια υιοθέτησή τους.</w:t>
      </w:r>
    </w:p>
    <w:p w14:paraId="043C09AF" w14:textId="77777777" w:rsidR="008B0B87" w:rsidRPr="00822C2D" w:rsidRDefault="00BA6D64" w:rsidP="008B0B87">
      <w:pPr>
        <w:pStyle w:val="30"/>
        <w:spacing w:line="360" w:lineRule="auto"/>
        <w:jc w:val="both"/>
      </w:pPr>
      <w:bookmarkStart w:id="52" w:name="_Toc243355275"/>
      <w:r>
        <w:t>Οικονομικές προκλήσεις στον ναυτιλιακό κλάδο</w:t>
      </w:r>
      <w:bookmarkEnd w:id="52"/>
    </w:p>
    <w:p w14:paraId="1B76B66A" w14:textId="5FB648C3" w:rsidR="005340EE" w:rsidRPr="00822C2D" w:rsidRDefault="008B0B87" w:rsidP="00782C47">
      <w:pPr>
        <w:spacing w:line="360" w:lineRule="auto"/>
        <w:ind w:firstLine="576"/>
        <w:jc w:val="both"/>
      </w:pPr>
      <w:r>
        <w:t>Η ζήτηση για ναυτιλιακές υπηρεσίες</w:t>
      </w:r>
      <w:r w:rsidR="00F33549">
        <w:t xml:space="preserve"> (</w:t>
      </w:r>
      <w:r w:rsidR="002E3101">
        <w:t>διαχείριση πλοίων</w:t>
      </w:r>
      <w:r w:rsidR="0051367E" w:rsidRPr="0051367E">
        <w:t>,</w:t>
      </w:r>
      <w:r w:rsidR="002E3101">
        <w:t xml:space="preserve"> μεταφορά φορτίων και επιβατών)</w:t>
      </w:r>
      <w:r>
        <w:t xml:space="preserve"> εξαρτάται σε μεγάλο βαθμό από την κατάσταση της παγκόσμιας οικονομίας. Σε περιόδους οικονομικής αβεβαιότητας, οι ναυτιλιακές υπηρεσίες είναι γνωστό ότι παρουσιάζουν μεγάλες διακυμάνσεις. Η κατάσταση της οικονομίας επηρεάζεται από διάφορους παράγοντες. Πρώτον, υπάρχουν γεωπολιτικά ζητήματα, όπως οι εν εξελίξει πόλεμοι —για παράδειγμα η σύγκρουση Ρωσίας-Ουκρανίας—, η πολιτική αναταραχή σε περιοχές της Μέσης Ανατολής (τον Μάρτιο του 2026) και τα προβλήματα που προκάλεσε η πανδημία COVID-19. Επιπλέον, έχουν σημειωθεί επιθέσεις σε σημαντικές ναυτιλιακές οδούς, σε περιοχές όπως η Ερυθρά Θάλασσα</w:t>
      </w:r>
      <w:r w:rsidR="00D56A90">
        <w:t>,</w:t>
      </w:r>
      <w:r>
        <w:t xml:space="preserve"> ο Ινδικός Ωκεανός</w:t>
      </w:r>
      <w:r w:rsidR="00D56A90">
        <w:t xml:space="preserve"> και τα στενά του </w:t>
      </w:r>
      <w:proofErr w:type="spellStart"/>
      <w:r w:rsidR="00D56A90">
        <w:t>Ορμούζ</w:t>
      </w:r>
      <w:proofErr w:type="spellEnd"/>
      <w:r w:rsidR="008E4829">
        <w:t xml:space="preserve"> (</w:t>
      </w:r>
      <w:r w:rsidR="004C06BC">
        <w:t xml:space="preserve">τον </w:t>
      </w:r>
      <w:r w:rsidR="008E4829">
        <w:t>Φε</w:t>
      </w:r>
      <w:r w:rsidR="004C06BC">
        <w:t>βρουάριο του 2026)</w:t>
      </w:r>
      <w:r>
        <w:t xml:space="preserve">. Όλα αυτά έχουν συμβάλει σε ένα σοβαρό πλήγμα για τη ναυτιλία </w:t>
      </w:r>
      <w:r>
        <w:fldChar w:fldCharType="begin"/>
      </w:r>
      <w:r>
        <w:instrText xml:space="preserve"> ADDIN ZOTERO_ITEM CSL_CITATION {"citationID":"SxKNQZ8O","properties":{"unsorted":false,"formattedCitation":"[30]","plainCitation":"[30]","noteIndex":0},"citationItems":[{"id":91,"uris":["http://zotero.org/users/19904160/items/NFYVGH3A"],"itemData":{"id":91,"type":"article-journal","container-title":"Maritime Economics &amp; Logistics","DOI":"10.1057/s41278-026-00348-5","ISSN":"1479-2931, 1479-294X","journalAbbreviation":"Marit Econ Logist","language":"en","source":"DOI.org (Crossref)","title":"Volatility in shipping markets: a multi-perspective analysis using time series and deep learning models","title-short":"Volatility in shipping markets","URL":"https://link.springer.com/10.1057/s41278-026-00348-5","author":[{"family":"Lam","given":"Jasmine Siu Lee"},{"family":"Li","given":"Qingyao"},{"family":"Pu","given":"Shuyi"}],"accessed":{"date-parts":[["2026",3,20]]},"issued":{"date-parts":[["2026",2,25]]}}}],"schema":"https://github.com/citation-style-language/schema/raw/master/csl-citation.json"} </w:instrText>
      </w:r>
      <w:r>
        <w:fldChar w:fldCharType="separate"/>
      </w:r>
      <w:r>
        <w:rPr>
          <w:rFonts w:cs="Times New Roman"/>
        </w:rPr>
        <w:t>[30]</w:t>
      </w:r>
      <w:r>
        <w:fldChar w:fldCharType="end"/>
      </w:r>
      <w:r>
        <w:t xml:space="preserve">. </w:t>
      </w:r>
      <w:r w:rsidR="004C06BC">
        <w:t>Τα</w:t>
      </w:r>
      <w:r>
        <w:t xml:space="preserve"> ναύλ</w:t>
      </w:r>
      <w:r w:rsidR="004C06BC">
        <w:t>α</w:t>
      </w:r>
      <w:r>
        <w:t xml:space="preserve"> μετρούν το κόστος της θαλάσσιας μεταφοράς εμπορευμάτων και αποτελούν βασικό δείκτη της πορείας της ναυτιλιακής δραστηριότητας. Η παγκόσμια οικονομία έχει μεταβληθεί σημαντικά τις τελευταίες δεκαετίες, με παράγοντες όπως η τεχνολογία, η καταναλωτική συμπεριφορά </w:t>
      </w:r>
      <w:r>
        <w:lastRenderedPageBreak/>
        <w:t xml:space="preserve">και οι νέες αγορές. Σε αυτούς προστίθενται τα θεμελιώδη μεγέθη: ο όγκος του εμπορίου, οι συναλλαγματικές ισοτιμίες και οι τιμές των βασικών εμπορευμάτων. Όλοι αυτοί οι παράγοντες προκαλούν διακυμάνσεις των ναύλων </w:t>
      </w:r>
      <w:r>
        <w:fldChar w:fldCharType="begin"/>
      </w:r>
      <w:r>
        <w:instrText xml:space="preserve"> ADDIN ZOTERO_ITEM CSL_CITATION {"citationID":"4JTahLkN","properties":{"unsorted":false,"formattedCitation":"[31]","plainCitation":"[31]","noteIndex":0},"citationItems":[{"id":94,"uris":["http://zotero.org/users/19904160/items/7CLB32U8"],"itemData":{"id":94,"type":"article-journal","language":"en","source":"Zotero","title":"« Economic and Geopolitical factors affecting the freight rates »","author":[{"family":"Theodorou","given":"Theodoros"},{"family":"Litina","given":"Anastasia"}]}}],"schema":"https://github.com/citation-style-language/schema/raw/master/csl-citation.json"} </w:instrText>
      </w:r>
      <w:r>
        <w:fldChar w:fldCharType="separate"/>
      </w:r>
      <w:r>
        <w:rPr>
          <w:rFonts w:cs="Times New Roman"/>
        </w:rPr>
        <w:t>[31]</w:t>
      </w:r>
      <w:r>
        <w:fldChar w:fldCharType="end"/>
      </w:r>
      <w:r>
        <w:t xml:space="preserve">. Η αγορά ορυκτών καυσίμων είναι ιδιαίτερα ευαίσθητη σε μείζονες παγκόσμιες επιδράσεις, όπως η γεωπολιτική, οι αιφνίδιες μεταβολές της ζήτησης και άλλα σημαντικά ζητήματα, τα οποία τελικά αυξάνουν ή μειώνουν τις τιμές του πετρελαίου και επηρεάζουν αμέσως τις αγορές φυσικού αερίου και άνθρακα </w:t>
      </w:r>
      <w:r>
        <w:fldChar w:fldCharType="begin"/>
      </w:r>
      <w:r>
        <w:instrText xml:space="preserve"> ADDIN ZOTERO_ITEM CSL_CITATION {"citationID":"z96qiOCr","properties":{"unsorted":false,"formattedCitation":"[32]","plainCitation":"[32]","noteIndex":0},"citationItems":[{"id":99,"uris":["http://zotero.org/users/19904160/items/BPTJ9SFV"],"itemData":{"id":99,"type":"article-journal","abstract":"As climate and economic policies become more volatile, uncertainty pervades global energy markets. Against this backdrop, we investigate how uncertainties in climate and economic policies relate to global fossil fuel prices, focusing on their asymmetric and time frequency associations. To capture complex dependencies, we apply a quantile-on-quantile regression along with a wavelet method to monthly data from January 1991 to September 2024, capturing dynamic relationships across market conditions and timescales. The findings reveal that heightened CPU tends to correlate with increased fossil fuel prices in the short to medium term, as investors delay decisions and incorporate higher risk premiums. However, in the long run, persistent CPU dampens investment in fossil fuel projects, reducing supply capacity and driving prices downward. Conversely, EPU exerts a mixed influence: it suppresses fossil fuel demand during shortterm crises but often fuels price volatility and upward pressure over medium horizons. Overall, global fossil fuel prices respond unevenly to policy shocks, highlighting the need for stable and predictable policy frameworks. Clear, consistent climate and economic policies can dampen extreme price swings in oil, gas, and coal, thereby bolstering global energy security and economic resilience.","container-title":"The North American Journal of Economics and Finance","DOI":"10.1016/j.najef.2026.102594","ISSN":"10629408","journalAbbreviation":"The North American Journal of Economics and Finance","language":"en","page":"102594","source":"DOI.org (Crossref)","title":"How do climate and economic policy uncertainties relate to global fossil fuel price dynamics?","volume":"83","author":[{"family":"Nawaz","given":"Ali"},{"family":"Su","given":"Chi Wei"},{"family":"Khan","given":"Shaher Yar"}],"issued":{"date-parts":[["2026",3]]}}}],"schema":"https://github.com/citation-style-language/schema/raw/master/csl-citation.json"} </w:instrText>
      </w:r>
      <w:r>
        <w:fldChar w:fldCharType="separate"/>
      </w:r>
      <w:r>
        <w:rPr>
          <w:rFonts w:cs="Times New Roman"/>
        </w:rPr>
        <w:t>[32]</w:t>
      </w:r>
      <w:r>
        <w:fldChar w:fldCharType="end"/>
      </w:r>
      <w:r>
        <w:t xml:space="preserve">. </w:t>
      </w:r>
      <w:r w:rsidR="00D557E1">
        <w:t>Τα</w:t>
      </w:r>
      <w:r>
        <w:t xml:space="preserve"> ναύλ</w:t>
      </w:r>
      <w:r w:rsidR="00D557E1">
        <w:t>α</w:t>
      </w:r>
      <w:r>
        <w:t xml:space="preserve"> επηρεάζονται από τους προαναφερθέντες παράγοντες και είναι ιδιαίτερα ευμετάβλητ</w:t>
      </w:r>
      <w:r w:rsidR="00FE22F0">
        <w:t>α</w:t>
      </w:r>
      <w:r>
        <w:t xml:space="preserve"> κατά την τρέχουσα περίοδο, λόγω των</w:t>
      </w:r>
      <w:r w:rsidR="00FE22F0">
        <w:t xml:space="preserve"> </w:t>
      </w:r>
      <w:r>
        <w:t xml:space="preserve">παγκόσμιων γεωπολιτικών εξελίξεων. Η συσχέτιση μεταξύ των τιμών καυσίμων και των ναύλων μπορεί να οφείλεται στην παγκόσμια ζήτηση ή στη δυνατότητα των πλοιοκτητών να </w:t>
      </w:r>
      <w:proofErr w:type="spellStart"/>
      <w:r>
        <w:t>μετακυλίουν</w:t>
      </w:r>
      <w:proofErr w:type="spellEnd"/>
      <w:r>
        <w:t xml:space="preserve"> το αυξημένο κόστος καυσίμων στους αγοραστές των μεταφορικών υπηρεσιών</w:t>
      </w:r>
      <w:r w:rsidR="00782C47">
        <w:t xml:space="preserve"> ή στις εταιρείες που ναυλώνουν τα πλοία</w:t>
      </w:r>
      <w:r>
        <w:t xml:space="preserve">. Εάν η σχέση αυτή δεν ληφθεί κατάλληλα υπόψη, παραβιάζεται η παραδοχή ότι οι τιμές καυσίμων είναι εξωγενείς ως προς την ταχύτητα του πλοίου και τις λοιπές ερμηνευτικές μεταβλητές </w:t>
      </w:r>
      <w:r>
        <w:fldChar w:fldCharType="begin"/>
      </w:r>
      <w:r>
        <w:instrText xml:space="preserve"> ADDIN ZOTERO_ITEM CSL_CITATION {"citationID":"9Gs7CF2b","properties":{"unsorted":false,"formattedCitation":"[33]","plainCitation":"[33]","noteIndex":0},"citationItems":[{"id":95,"uris":["http://zotero.org/users/19904160/items/FN6WR4KN"],"itemData":{"id":95,"type":"article-journal","abstract":"In this paper, we estimate fuel price elasticities of sailing speed for general cargo vessels using data covering the Baltic Sea and Norwegian coastal areas during the years 2007–2018. To disentangle the correlation between fuel prices and freight rates arising from changes in global demand, we instrument fuel prices on price changes triggered by supply shocks. The shocks are derived from the structural vector autoregressive (SVAR) model proposed by Kilian (2009). In a sensitivity analysis, we use unanticipated oil supply shocks derived from oil supply outages as an alternative instrument for fuel prices. We find that disregarding the correlation between fuel prices and freight rates yields biased parameter estimates, which can partly explain the mixed results in the previous literature. Our preferred estimate for the fuel price elasticity of speed is −0.08.","container-title":"Applied Economics","DOI":"10.1080/00036846.2024.2364106","ISSN":"0003-6846","issue":"33","note":"_eprint: https://doi.org/10.1080/00036846.2024.2364106","page":"4938-4954","publisher":"Routledge","source":"Taylor and Francis+NEJM","title":"Effect of fuel prices on sailing speeds in short-sea shipping","volume":"57","author":[{"family":"Ollila","given":"Saana"},{"family":"Merkel","given":"Axel"},{"family":"Börjesson","given":"Maria"}],"issued":{"date-parts":[["2025",7,15]]}}}],"schema":"https://github.com/citation-style-language/schema/raw/master/csl-citation.json"} </w:instrText>
      </w:r>
      <w:r>
        <w:fldChar w:fldCharType="separate"/>
      </w:r>
      <w:r>
        <w:rPr>
          <w:rFonts w:cs="Times New Roman"/>
        </w:rPr>
        <w:t>[33]</w:t>
      </w:r>
      <w:r>
        <w:fldChar w:fldCharType="end"/>
      </w:r>
      <w:r>
        <w:t>.</w:t>
      </w:r>
    </w:p>
    <w:p w14:paraId="3440CCDC" w14:textId="77777777" w:rsidR="00EC5606" w:rsidRPr="00822C2D" w:rsidRDefault="00BA6D64" w:rsidP="00EC5606">
      <w:pPr>
        <w:pStyle w:val="30"/>
        <w:spacing w:line="360" w:lineRule="auto"/>
        <w:jc w:val="both"/>
      </w:pPr>
      <w:bookmarkStart w:id="53" w:name="_Toc243355276"/>
      <w:r>
        <w:t>Τεχνολογίες αιολικής υποβοήθησης της πρόωσης</w:t>
      </w:r>
      <w:bookmarkEnd w:id="53"/>
    </w:p>
    <w:p w14:paraId="34FFF149" w14:textId="138C7819" w:rsidR="005B56F8" w:rsidRPr="00822C2D" w:rsidRDefault="007D41A7" w:rsidP="005B56F8">
      <w:pPr>
        <w:spacing w:line="360" w:lineRule="auto"/>
        <w:ind w:firstLine="576"/>
        <w:jc w:val="both"/>
      </w:pPr>
      <w:r>
        <w:t>Τα συστήματα αιολικής υποβοήθησης της πρόωσης</w:t>
      </w:r>
      <w:r w:rsidR="007A378F">
        <w:t xml:space="preserve"> του πλοίου</w:t>
      </w:r>
      <w:r>
        <w:t xml:space="preserve"> (</w:t>
      </w:r>
      <w:proofErr w:type="spellStart"/>
      <w:r>
        <w:t>Wind-Assisted</w:t>
      </w:r>
      <w:proofErr w:type="spellEnd"/>
      <w:r>
        <w:t xml:space="preserve"> </w:t>
      </w:r>
      <w:proofErr w:type="spellStart"/>
      <w:r>
        <w:t>Propulsion</w:t>
      </w:r>
      <w:proofErr w:type="spellEnd"/>
      <w:r>
        <w:t xml:space="preserve"> Systems, WAPS) φαίνεται να αποτελούν μια ελπιδοφόρα ευκαιρία για </w:t>
      </w:r>
      <w:r w:rsidR="00DA5873">
        <w:t>μια πιο «πράσινη»</w:t>
      </w:r>
      <w:r>
        <w:t xml:space="preserve"> ναυτιλία </w:t>
      </w:r>
      <w:r>
        <w:fldChar w:fldCharType="begin"/>
      </w:r>
      <w:r>
        <w:instrText xml:space="preserve"> ADDIN ZOTERO_ITEM CSL_CITATION {"citationID":"ZBZAEOie","properties":{"unsorted":false,"formattedCitation":"[28]","plainCitation":"[28]","noteIndex":0},"citationItems":[{"id":110,"uris":["http://zotero.org/users/19904160/items/WIKGW9HP"],"itemData":{"id":110,"type":"article-journal","container-title":"Ocean","DOI":"10.26599/OCEAN.2026.9470019","ISSN":"3008-1203","language":"en","source":"DOI.org (Crossref)","title":"Wind-assisted propulsion systems for green shipping: A techno-economic review","title-short":"Wind-assisted propulsion systems for green shipping","URL":"https://www.sciopen.com/article/10.26599/OCEAN.2026.9470019","author":[{"family":"Zhang","given":"Wenzhe"},{"family":"Jiang","given":"Zhiyu"},{"family":"Calderon-Sanchez","given":"Javier"},{"family":"Martínez","given":"Lisa"},{"family":"Saettone","given":"Simone"},{"family":"Galdós-Lindao","given":"H. Bill"},{"family":"Mas-Soler","given":"Jordi"}],"accessed":{"date-parts":[["2026",3,30]]},"issued":{"date-parts":[["2026",2]]}}}],"schema":"https://github.com/citation-style-language/schema/raw/master/csl-citation.json"} </w:instrText>
      </w:r>
      <w:r>
        <w:fldChar w:fldCharType="separate"/>
      </w:r>
      <w:r>
        <w:rPr>
          <w:rFonts w:cs="Times New Roman"/>
        </w:rPr>
        <w:t>[28]</w:t>
      </w:r>
      <w:r>
        <w:fldChar w:fldCharType="end"/>
      </w:r>
      <w:r>
        <w:t>. Η τεχνολογία αυτή αξιοποιεί την αιολική ενέργεια για την πρόωση των πλοίων, γεγονός που μπορεί να βελτιώσει την αποδοτικότητα καυσίμου και να μειώσει τις εκπομπές</w:t>
      </w:r>
      <w:r w:rsidR="00DA5873">
        <w:t xml:space="preserve"> στο περιβάλλον</w:t>
      </w:r>
      <w:r>
        <w:t xml:space="preserve">. Αν και η τεχνολογία δεν είναι νέα, έχει αποκτήσει εκ νέου δημοτικότητα στο πλαίσιο της προσπάθειας για μείωση της εξάρτησης από τα καύσιμα και του περιβαλλοντικού αποτυπώματος. Μεγάλες εταιρείες του κλάδου, όπως οι </w:t>
      </w:r>
      <w:proofErr w:type="spellStart"/>
      <w:r>
        <w:t>Vale</w:t>
      </w:r>
      <w:proofErr w:type="spellEnd"/>
      <w:r>
        <w:t xml:space="preserve">, </w:t>
      </w:r>
      <w:proofErr w:type="spellStart"/>
      <w:r>
        <w:t>Maersk</w:t>
      </w:r>
      <w:proofErr w:type="spellEnd"/>
      <w:r>
        <w:t xml:space="preserve">, </w:t>
      </w:r>
      <w:proofErr w:type="spellStart"/>
      <w:r>
        <w:t>Berge</w:t>
      </w:r>
      <w:proofErr w:type="spellEnd"/>
      <w:r>
        <w:t xml:space="preserve"> </w:t>
      </w:r>
      <w:proofErr w:type="spellStart"/>
      <w:r>
        <w:t>Bulk</w:t>
      </w:r>
      <w:proofErr w:type="spellEnd"/>
      <w:r>
        <w:t xml:space="preserve"> και </w:t>
      </w:r>
      <w:proofErr w:type="spellStart"/>
      <w:r>
        <w:t>Mitsui</w:t>
      </w:r>
      <w:proofErr w:type="spellEnd"/>
      <w:r>
        <w:t xml:space="preserve"> O.S.K, έχουν εκδηλώσει ενδιαφέρον για την τεχνολογία αυτή και έχουν ήδη μετασκευάσει υφιστάμενα πλοία ή προετοιμάζουν νέες ναυπηγήσεις. Από την εξέταση μιας έκθεσης εμπλεκόμενων φορέων προέκυψε ότι οι τεχνολογίες WASPT μπορούν να καλύψουν το 5-20% των ενεργειακών αναγκών πρόωσης, ενώ η αιολική πρόωση μπορεί ακόμη και να κυριαρχήσει, καλύπτοντας πάνω από το 50% της συνολικής ενέργειας, όταν χρησιμοποιείται ως κύρια πηγή πρόωσης και ο άνεμος είναι ευνοϊκός </w:t>
      </w:r>
      <w:r>
        <w:fldChar w:fldCharType="begin"/>
      </w:r>
      <w:r>
        <w:instrText xml:space="preserve"> ADDIN ZOTERO_ITEM CSL_CITATION {"citationID":"552YMi9n","properties":{"unsorted":false,"formattedCitation":"[34]","plainCitation":"[34]","noteIndex":0},"citationItems":[{"id":113,"uris":["http://zotero.org/users/19904160/items/LK83V67Y"],"itemData":{"id":113,"type":"article-journal","abstract":"The transition to sustainable maritime shipping will necessitate the uptake of various revamped and newly developed technological innovations. Among these, wind assisted ship propulsion technologies (WASPTs) are (r) emerging as a viable option. Understanding the drivers and barriers to their adoption is therefore critical for developing policies and business strategies to harness their potential. A key limitation of the extant literature on these drivers and barriers is their reliance on theoretical perspectives focused on factors external to organisations. The purpose of this paper is to provide a more comprehensive picture of the drivers and barriers to the adoption of WASPTs. A qualitative thematic analysis is applied to fourteen semi-structured interviews with senior stakeholders across the maritime sector. Guided by a systems theory lens, the analysis categorises drivers into internal, connecting, and external types, and barriers into behavioural, economic, organisational, and technological categories. The findings highlight that WASPTs adoption is primarily driven by progressive leadership, strategic alignment, and regulatory incentives, but is constrained by high investment costs, a conservative industry culture, and various operational and structural limitations. Based on this a conceptual model that highlights the role of internal organisational dynamics and inter-actor legitimacy pressures is developed. From a business perspective, a technology package approach emerged as a strategic solution for addressing the high cost of investment and payback time and return on investment (ROI) sensitivity barriers. It is also argued that designing policies built around progressive leaders rather targeting the whole industry could be more effective in accelerating WASPTs adoption.","container-title":"Technological Forecasting and Social Change","DOI":"10.1016/j.techfore.2026.124559","ISSN":"00401625","journalAbbreviation":"Technological Forecasting and Social Change","language":"en","page":"124559","source":"DOI.org (Crossref)","title":"Drivers and barriers to the adoption of wind assisted ship propulsion technologies: An organisational perspective","title-short":"Drivers and barriers to the adoption of wind assisted ship propulsion technologies","volume":"226","author":[{"family":"Djoumessi","given":"Armand"},{"family":"Tei","given":"Alessio"},{"family":"Ferrari","given":"Claudio"},{"family":"Wide","given":"Per"},{"family":"Santén","given":"Vendela"}],"issued":{"date-parts":[["2026",5]]}}}],"schema":"https://github.com/citation-style-language/schema/raw/master/csl-citation.json"} </w:instrText>
      </w:r>
      <w:r>
        <w:fldChar w:fldCharType="separate"/>
      </w:r>
      <w:r>
        <w:rPr>
          <w:rFonts w:cs="Times New Roman"/>
        </w:rPr>
        <w:t>[34]</w:t>
      </w:r>
      <w:r>
        <w:fldChar w:fldCharType="end"/>
      </w:r>
      <w:r>
        <w:t xml:space="preserve">. Οι τεχνολογίες αυτές αποτελούν πολύ καλύτερη λύση από όλα τα άλλα εναλλακτικά καύσιμα, λόγω του σταθερού και </w:t>
      </w:r>
      <w:proofErr w:type="spellStart"/>
      <w:r>
        <w:t>βιωσιμότερου</w:t>
      </w:r>
      <w:proofErr w:type="spellEnd"/>
      <w:r>
        <w:t xml:space="preserve"> </w:t>
      </w:r>
      <w:proofErr w:type="spellStart"/>
      <w:r>
        <w:t>μέλλοντός</w:t>
      </w:r>
      <w:proofErr w:type="spellEnd"/>
      <w:r>
        <w:t xml:space="preserve"> τους. Ένα διαφοροποιημένο ενεργειακό χαρτοφυλάκιο θεωρείται συχνά η ορθότερη στρατηγική για την </w:t>
      </w:r>
      <w:proofErr w:type="spellStart"/>
      <w:r>
        <w:lastRenderedPageBreak/>
        <w:t>απανθρακοποίηση</w:t>
      </w:r>
      <w:proofErr w:type="spellEnd"/>
      <w:r>
        <w:t xml:space="preserve"> της ναυτιλίας, με την αιολική ενέργεια να λειτουργεί συμπληρωματικά και όχι ως εναλλακτική λύση </w:t>
      </w:r>
      <w:r>
        <w:fldChar w:fldCharType="begin"/>
      </w:r>
      <w:r>
        <w:instrText xml:space="preserve"> ADDIN ZOTERO_ITEM CSL_CITATION {"citationID":"tQpzO4Po","properties":{"unsorted":false,"formattedCitation":"[24]","plainCitation":"[24]","noteIndex":0},"citationItems":[{"id":70,"uris":["http://zotero.org/users/19904160/items/QZVZWU7T"],"itemData":{"id":70,"type":"post-weblog","abstract":"Alternative fuels are a hot topic in shipping, but unlike past shifts, today’s energy transition is far more complex for owners and operators.","language":"en-US","note":"section: News","title":"Alternative fuels in shipping: a guide to green potential | bound4blue","title-short":"Alternative fuels in shipping","URL":"https://bound4blue.com/alternative-fuels-in-shipping-the-guide/","accessed":{"date-parts":[["2026",3,16]]},"issued":{"date-parts":[["2025",6,17]]}}}],"schema":"https://github.com/citation-style-language/schema/raw/master/csl-citation.json"} </w:instrText>
      </w:r>
      <w:r>
        <w:fldChar w:fldCharType="separate"/>
      </w:r>
      <w:r>
        <w:rPr>
          <w:rFonts w:cs="Times New Roman"/>
        </w:rPr>
        <w:t>[24]</w:t>
      </w:r>
      <w:r>
        <w:fldChar w:fldCharType="end"/>
      </w:r>
      <w:r>
        <w:t xml:space="preserve">. Τα WAPS έχουν τη δυνατότητα να βελτιώσουν την αποδοτικότητα των ναυτιλιακών δραστηριοτήτων αξιοποιώντας τον άνεμο ως ανεξάντλητη, δωρεάν πηγή ενέργειας μηδενικών εκπομπών άνθρακα </w:t>
      </w:r>
      <w:r>
        <w:fldChar w:fldCharType="begin"/>
      </w:r>
      <w:r>
        <w:instrText xml:space="preserve"> ADDIN ZOTERO_ITEM CSL_CITATION {"citationID":"US9fQUYX","properties":{"unsorted":false,"formattedCitation":"[35]","plainCitation":"[35]","noteIndex":0},"citationItems":[{"id":114,"uris":["http://zotero.org/users/19904160/items/R6JZ9VJ8"],"itemData":{"id":114,"type":"webpage","abstract":"Discover how wind-assisted propulsion systems (WAPS) transform shipping by harnessing wind power to slash fuel consumption and emissions sustainably.","container-title":"DNV","language":"en","title":"WAPS – Wind Assisted Propulsion Systems","URL":"https://www.dnv.com/maritime/insights/topics/waps-wind-assisted-propulsion-systems/","accessed":{"date-parts":[["2026",3,31]]}}}],"schema":"https://github.com/citation-style-language/schema/raw/master/csl-citation.json"} </w:instrText>
      </w:r>
      <w:r>
        <w:fldChar w:fldCharType="separate"/>
      </w:r>
      <w:r>
        <w:rPr>
          <w:rFonts w:cs="Times New Roman"/>
        </w:rPr>
        <w:t>[35]</w:t>
      </w:r>
      <w:r>
        <w:fldChar w:fldCharType="end"/>
      </w:r>
      <w:r>
        <w:t>. Πλοιοκτήτες και διαχειριστές πλοίων έχουν ήδη αναφέρει εξοικονόμηση καυσίμου που κυμαίνεται έως 9% και μπορεί να αυξηθεί σε περίπου 25% με βελτιστοποίηση της διαδρομής, όταν η τεχνολογία εγκαθίσταται ως μετασκευή. Τα νεότευκτα πλοία ενδέχεται να επιτύχουν δυνητικά μεγαλύτερη εξοικονόμηση, καθώς σχεδιάζονται ειδικά για να φέρουν συστήματα ιστίων</w:t>
      </w:r>
      <w:r w:rsidR="00995949">
        <w:t xml:space="preserve"> σε συνδυασμό με την κύρια </w:t>
      </w:r>
      <w:r w:rsidR="00F66690">
        <w:t xml:space="preserve">μηχανή, που τις περισσότερες φορές θα λειτουργεί με </w:t>
      </w:r>
      <w:r w:rsidR="005D7C34">
        <w:t xml:space="preserve">άλλα ονομαστικά </w:t>
      </w:r>
      <w:r w:rsidR="002F34E5">
        <w:t>μεγέθη</w:t>
      </w:r>
      <w:r>
        <w:t>. Οι περισσότερες εγκαταστάσεις WAPS πραγματοποιήθηκαν μετά το 2018, ενώ αυξάνεται ο αριθμός των πλοίων υπό παραγγελία που ενσωματώνουν τέτοιες τεχνολογίες.</w:t>
      </w:r>
      <w:r w:rsidR="0089260A">
        <w:t xml:space="preserve"> Ο</w:t>
      </w:r>
      <w:r>
        <w:t xml:space="preserve"> πρώτο</w:t>
      </w:r>
      <w:r w:rsidR="0089260A">
        <w:t>ς</w:t>
      </w:r>
      <w:r>
        <w:t xml:space="preserve"> σύγχρονο</w:t>
      </w:r>
      <w:r w:rsidR="0089260A">
        <w:t>ς</w:t>
      </w:r>
      <w:r>
        <w:t xml:space="preserve"> </w:t>
      </w:r>
      <w:proofErr w:type="spellStart"/>
      <w:r>
        <w:t>ρότορας</w:t>
      </w:r>
      <w:proofErr w:type="spellEnd"/>
      <w:r w:rsidR="0089260A">
        <w:t xml:space="preserve"> </w:t>
      </w:r>
      <w:proofErr w:type="spellStart"/>
      <w:r w:rsidR="0089260A">
        <w:rPr>
          <w:lang w:val="en-US"/>
        </w:rPr>
        <w:t>Flettner</w:t>
      </w:r>
      <w:proofErr w:type="spellEnd"/>
      <w:r>
        <w:t xml:space="preserve"> εγκαταστάθηκε το 2010 στο </w:t>
      </w:r>
      <w:r>
        <w:rPr>
          <w:i/>
          <w:iCs/>
        </w:rPr>
        <w:t>E-</w:t>
      </w:r>
      <w:proofErr w:type="spellStart"/>
      <w:r>
        <w:rPr>
          <w:i/>
          <w:iCs/>
        </w:rPr>
        <w:t>Ship</w:t>
      </w:r>
      <w:proofErr w:type="spellEnd"/>
      <w:r>
        <w:t xml:space="preserve">, ενώ τα περισσότερα άλλα συστήματα —όπως τα ιστία αναρρόφησης, τα άκαμπτα ιστία και τα ιστία-χαρταετοί— αναπτύχθηκαν και εφαρμόστηκαν κυρίως από το 2020 και μετά </w:t>
      </w:r>
      <w:r>
        <w:fldChar w:fldCharType="begin"/>
      </w:r>
      <w:r>
        <w:instrText xml:space="preserve"> ADDIN ZOTERO_ITEM CSL_CITATION {"citationID":"XFUCJWyJ","properties":{"unsorted":false,"formattedCitation":"[36]","plainCitation":"[36]","noteIndex":0},"citationItems":[{"id":116,"uris":["http://zotero.org/users/19904160/items/83TQ44N5"],"itemData":{"id":116,"type":"webpage","title":"maritime.lr.org/WAPS-report","URL":"https://maritime.lr.org/WAPS-report","accessed":{"date-parts":[["2026",4,2]]}}}],"schema":"https://github.com/citation-style-language/schema/raw/master/csl-citation.json"} </w:instrText>
      </w:r>
      <w:r>
        <w:fldChar w:fldCharType="separate"/>
      </w:r>
      <w:r>
        <w:rPr>
          <w:rFonts w:cs="Times New Roman"/>
        </w:rPr>
        <w:t>[36]</w:t>
      </w:r>
      <w:r>
        <w:fldChar w:fldCharType="end"/>
      </w:r>
      <w:r>
        <w:t>.</w:t>
      </w:r>
    </w:p>
    <w:p w14:paraId="59D83D6F" w14:textId="77777777" w:rsidR="00947577" w:rsidRPr="00822C2D" w:rsidRDefault="00947577" w:rsidP="005B56F8">
      <w:pPr>
        <w:pStyle w:val="20"/>
      </w:pPr>
      <w:bookmarkStart w:id="54" w:name="_Toc243355277"/>
      <w:r>
        <w:t>Σκοπός της διπλωματικής εργασίας</w:t>
      </w:r>
      <w:bookmarkEnd w:id="54"/>
    </w:p>
    <w:p w14:paraId="07A8F1F1" w14:textId="7100631B" w:rsidR="00B10122" w:rsidRDefault="002B19F0" w:rsidP="007E4590">
      <w:pPr>
        <w:spacing w:line="360" w:lineRule="auto"/>
        <w:ind w:firstLine="576"/>
        <w:jc w:val="both"/>
      </w:pPr>
      <w:r>
        <w:t>Σκοπός της παρούσας διπλωματικής εργασίας είναι η αξιολόγηση των δυνατοτήτων των συστημάτων αιολικής υποβοήθησης της πρόωσης (WAPS) ως μέσου βελτίωσης της ενεργειακής απόδοσης και της περιβαλλοντικής επίδοσης των εμπορικών πλοίων. Η μελέτη διενεργεί αρχικά τεχν</w:t>
      </w:r>
      <w:r w:rsidR="000406EA">
        <w:t>ο</w:t>
      </w:r>
      <w:r>
        <w:t xml:space="preserve">οικονομική αξιολόγηση των τεχνολογιών WAPS με βάση την υπάρχουσα βιβλιογραφία και δημόσια διαθέσιμα δεδομένα, εξετάζοντας τις αρχές λειτουργίας τους, την αναφερόμενη εξοικονόμηση καυσίμου, το κόστος εγκατάστασης και την οικονομική τους επίδοση υπό διαφορετικές συνθήκες λειτουργίας και αγοράς. Στη συνέχεια, η αξιολόγηση αυτή εντάσσεται στο κανονιστικό της πλαίσιο: εξετάζονται το ευρωπαϊκό (MRV, EU ETS, </w:t>
      </w:r>
      <w:proofErr w:type="spellStart"/>
      <w:r>
        <w:t>FuelEU</w:t>
      </w:r>
      <w:proofErr w:type="spellEnd"/>
      <w:r>
        <w:t xml:space="preserve"> Maritime) και το διεθνές πλαίσιο του IMO, ενώ ενδεικτικοί υπολογισμοί </w:t>
      </w:r>
      <w:proofErr w:type="spellStart"/>
      <w:r>
        <w:t>ποσοτικοποιούν</w:t>
      </w:r>
      <w:proofErr w:type="spellEnd"/>
      <w:r>
        <w:t xml:space="preserve"> τον τρόπο με τον οποίο τα εργαλεία αυτά μεταβάλλουν την αξία της εξοικονόμησης καυσίμου, την περίοδο αποπληρωμής μιας εγκατάστασης και τη δυνητική συμβολή των WAPS στη μείωση των εκπομπών των ευρωπαϊκών θαλάσσιων μεταφορών.</w:t>
      </w:r>
    </w:p>
    <w:p w14:paraId="7CBEF0F5" w14:textId="7E4A106A" w:rsidR="00D06BAC" w:rsidRDefault="00D06BAC">
      <w:r>
        <w:br w:type="page"/>
      </w:r>
    </w:p>
    <w:p w14:paraId="77566A3D" w14:textId="2C10B424" w:rsidR="00947577" w:rsidRPr="00822C2D" w:rsidRDefault="00480A38" w:rsidP="00647EFE">
      <w:pPr>
        <w:pStyle w:val="11"/>
      </w:pPr>
      <w:bookmarkStart w:id="55" w:name="_Toc243355278"/>
      <w:r>
        <w:lastRenderedPageBreak/>
        <w:t>Συστήματα αιολικής υποβοήθησης της πρόωσης</w:t>
      </w:r>
      <w:r w:rsidR="007E4590">
        <w:t xml:space="preserve"> </w:t>
      </w:r>
      <w:r w:rsidR="00E96A37">
        <w:t xml:space="preserve">του </w:t>
      </w:r>
      <w:r w:rsidR="007E4590">
        <w:t>πλοίου</w:t>
      </w:r>
      <w:r w:rsidR="00D06BAC" w:rsidRPr="00E96A37">
        <w:t xml:space="preserve"> (</w:t>
      </w:r>
      <w:r w:rsidR="00D06BAC">
        <w:rPr>
          <w:lang w:val="en-US"/>
        </w:rPr>
        <w:t>WAPS</w:t>
      </w:r>
      <w:r w:rsidR="00D06BAC" w:rsidRPr="00E96A37">
        <w:t>)</w:t>
      </w:r>
      <w:bookmarkEnd w:id="55"/>
    </w:p>
    <w:p w14:paraId="49368F22" w14:textId="77777777" w:rsidR="00647EFE" w:rsidRDefault="009F1675" w:rsidP="00647EFE">
      <w:pPr>
        <w:pStyle w:val="20"/>
      </w:pPr>
      <w:bookmarkStart w:id="56" w:name="_Toc243355279"/>
      <w:r>
        <w:t>Επισκόπηση των WAPS</w:t>
      </w:r>
      <w:bookmarkEnd w:id="56"/>
    </w:p>
    <w:p w14:paraId="4D1DF79F" w14:textId="77777777" w:rsidR="008A21E9" w:rsidRDefault="008A21E9" w:rsidP="008A21E9">
      <w:pPr>
        <w:pStyle w:val="30"/>
      </w:pPr>
      <w:bookmarkStart w:id="57" w:name="_Toc243355280"/>
      <w:r>
        <w:t>Ορισμός των WAPS</w:t>
      </w:r>
      <w:bookmarkEnd w:id="57"/>
    </w:p>
    <w:p w14:paraId="11B17AA9" w14:textId="0E3DA62C" w:rsidR="008A21E9" w:rsidRPr="00822C2D" w:rsidRDefault="007402EF" w:rsidP="00C23197">
      <w:pPr>
        <w:spacing w:line="360" w:lineRule="auto"/>
        <w:ind w:firstLine="576"/>
        <w:jc w:val="both"/>
      </w:pPr>
      <w:r>
        <w:t>Τα μεγάλα εμπορικά πλοία μπορούν να λαμβάνουν βοηθητική ώση από τα σύγχρονα WAPS, μια ολοκληρωμένη τεχνολογική λύση που αξιοποιεί την αιολική ενέργεια. Τα WAPS χρησιμοποιούν τ</w:t>
      </w:r>
      <w:r w:rsidR="00936951">
        <w:t>η</w:t>
      </w:r>
      <w:r>
        <w:t xml:space="preserve"> δ</w:t>
      </w:r>
      <w:r w:rsidR="00936951">
        <w:t>ύ</w:t>
      </w:r>
      <w:r>
        <w:t>ν</w:t>
      </w:r>
      <w:r w:rsidR="00936951">
        <w:t>α</w:t>
      </w:r>
      <w:r>
        <w:t>μ</w:t>
      </w:r>
      <w:r w:rsidR="00936951">
        <w:t>η του ανέμου</w:t>
      </w:r>
      <w:r>
        <w:t xml:space="preserve"> απευθείας για την πρόωση, αποφεύγοντας ενδιάμεσες μετατροπές ενέργειας, σε αντίθεση με συστήματα που μετατρέπουν την αιολική ενέργεια σε ηλεκτρική για χρήση στα πλοία (όπως οι ανεμογεννήτριες ή οι ανεμογεννήτριες κατακόρυφου άξονα</w:t>
      </w:r>
      <w:r w:rsidR="00AE2A53">
        <w:t>)</w:t>
      </w:r>
      <w:r>
        <w:t xml:space="preserve"> </w:t>
      </w:r>
      <w:r>
        <w:fldChar w:fldCharType="begin"/>
      </w:r>
      <w:r>
        <w:instrText xml:space="preserve"> ADDIN ZOTERO_ITEM CSL_CITATION {"citationID":"Y9VM2OkM","properties":{"unsorted":false,"formattedCitation":"[37]","plainCitation":"[37]","noteIndex":0},"citationItems":[{"id":120,"uris":["http://zotero.org/users/19904160/items/RIYD8XXP"],"itemData":{"id":120,"type":"book","publisher":"National Technical University of Athens","publisher-place":"Athens","title":"Introduction to Naval Architecture and Maritime Technology","author":[{"literal":"George Zarafonitis"}],"issued":{"date-parts":[["2015"]]}}}],"schema":"https://github.com/citation-style-language/schema/raw/master/csl-citation.json"} </w:instrText>
      </w:r>
      <w:r>
        <w:fldChar w:fldCharType="separate"/>
      </w:r>
      <w:r>
        <w:rPr>
          <w:rFonts w:cs="Times New Roman"/>
        </w:rPr>
        <w:t>[37]</w:t>
      </w:r>
      <w:r>
        <w:fldChar w:fldCharType="end"/>
      </w:r>
      <w:r>
        <w:t xml:space="preserve">. Κύριος στόχος τους είναι η μείωση της εξάρτησης από την πρόωση με ορυκτά καύσιμα, η οποία θα οδηγήσει σε μείωση της κατανάλωσης καυσίμου και των εκπομπών αερίων θερμοκηπίου. Τα WAPS λειτουργούν σε συνδυασμό με το κύριο σύστημα πρόωσης του πλοίου (όπως οι πετρελαιοκινητήρες ντίζελ), με σκοπό την αύξηση της συνολικής ενεργειακής απόδοσης και τη μείωση της ρύπανσης, μετατρέποντας την αιολική ενέργεια σε ώση μέσω εξειδικευμένου εξοπλισμού </w:t>
      </w:r>
      <w:r>
        <w:fldChar w:fldCharType="begin"/>
      </w:r>
      <w:r>
        <w:instrText xml:space="preserve"> ADDIN ZOTERO_ITEM CSL_CITATION {"citationID":"Lv98BOql","properties":{"unsorted":false,"formattedCitation":"[28]","plainCitation":"[28]","noteIndex":0},"citationItems":[{"id":110,"uris":["http://zotero.org/users/19904160/items/WIKGW9HP"],"itemData":{"id":110,"type":"article-journal","container-title":"Ocean","DOI":"10.26599/OCEAN.2026.9470019","ISSN":"3008-1203","language":"en","source":"DOI.org (Crossref)","title":"Wind-assisted propulsion systems for green shipping: A techno-economic review","title-short":"Wind-assisted propulsion systems for green shipping","URL":"https://www.sciopen.com/article/10.26599/OCEAN.2026.9470019","author":[{"family":"Zhang","given":"Wenzhe"},{"family":"Jiang","given":"Zhiyu"},{"family":"Calderon-Sanchez","given":"Javier"},{"family":"Martínez","given":"Lisa"},{"family":"Saettone","given":"Simone"},{"family":"Galdós-Lindao","given":"H. Bill"},{"family":"Mas-Soler","given":"Jordi"}],"accessed":{"date-parts":[["2026",3,30]]},"issued":{"date-parts":[["2026",2]]}}}],"schema":"https://github.com/citation-style-language/schema/raw/master/csl-citation.json"} </w:instrText>
      </w:r>
      <w:r>
        <w:fldChar w:fldCharType="separate"/>
      </w:r>
      <w:r>
        <w:rPr>
          <w:rFonts w:cs="Times New Roman"/>
        </w:rPr>
        <w:t>[28]</w:t>
      </w:r>
      <w:r>
        <w:fldChar w:fldCharType="end"/>
      </w:r>
      <w:r>
        <w:t>.</w:t>
      </w:r>
    </w:p>
    <w:p w14:paraId="60BB6E73" w14:textId="77777777" w:rsidR="009B144E" w:rsidRPr="00822C2D" w:rsidRDefault="008A1F19" w:rsidP="009B144E">
      <w:pPr>
        <w:pStyle w:val="30"/>
      </w:pPr>
      <w:bookmarkStart w:id="58" w:name="_Toc243355281"/>
      <w:r>
        <w:t>Ιστορική αναδρομή</w:t>
      </w:r>
      <w:bookmarkEnd w:id="58"/>
    </w:p>
    <w:p w14:paraId="11890F71" w14:textId="21FD2DF2" w:rsidR="00F40444" w:rsidRPr="00822C2D" w:rsidRDefault="00242F2A" w:rsidP="00CB0E59">
      <w:pPr>
        <w:spacing w:line="360" w:lineRule="auto"/>
        <w:ind w:firstLine="576"/>
        <w:jc w:val="both"/>
      </w:pPr>
      <w:r>
        <w:t xml:space="preserve">Ο άνεμος αποτελεί το κύριο μέσο πρόωσης των εμπορικών πλοίων ήδη από την 5η χιλιετία π.Χ. Τα ιστιοφόρα πλοία χρησιμοποιήθηκαν για πρώτη φορά από τους Αιγυπτίους για το εμπόριο και τη μεταφορά φορτίων, αλλά μόνο στα ήρεμα νερά του Νείλου. Οι Αιγύπτιοι δεν διέθεταν την τεχνολογία για να κατασκευάσουν σκάφη αρκετά ανθεκτικά ώστε να αντέχουν τα μεγάλα κύματα του ωκεανού. Μεταξύ των πολλών αρχαίων σκαφών, η ιστορική ελληνική </w:t>
      </w:r>
      <w:proofErr w:type="spellStart"/>
      <w:r>
        <w:t>τριήρης</w:t>
      </w:r>
      <w:proofErr w:type="spellEnd"/>
      <w:r>
        <w:t xml:space="preserve">, </w:t>
      </w:r>
      <w:r>
        <w:fldChar w:fldCharType="begin"/>
      </w:r>
      <w:r>
        <w:instrText xml:space="preserve"> REF _Ref226129368 \h  \* MERGEFORMAT </w:instrText>
      </w:r>
      <w:r>
        <w:fldChar w:fldCharType="separate"/>
      </w:r>
      <w:r w:rsidR="00B0043E">
        <w:rPr>
          <w:b/>
          <w:bCs/>
        </w:rPr>
        <w:t>Εικόνα 9</w:t>
      </w:r>
      <w:r>
        <w:fldChar w:fldCharType="end"/>
      </w:r>
      <w:r>
        <w:t xml:space="preserve">, αποτελεί αξιοσημείωτο πλοίο. Διέθετε τρεις σειρές κουπιών και χρησιμοποιούνταν κυρίως σε ναυμαχίες. Η </w:t>
      </w:r>
      <w:proofErr w:type="spellStart"/>
      <w:r>
        <w:t>τριήρης</w:t>
      </w:r>
      <w:proofErr w:type="spellEnd"/>
      <w:r>
        <w:t xml:space="preserve"> είχε εκτόπισμα περίπου 70 έως 90 τόνων, επανδρωνόταν από 170 κωπηλάτες και διέθετε δύο ιστούς: έναν μεγάλο («ιστός μέγας») και έναν μικρότερο π</w:t>
      </w:r>
      <w:r w:rsidR="00354070">
        <w:t>λωριό</w:t>
      </w:r>
      <w:r>
        <w:t xml:space="preserve"> ιστό («ιστός </w:t>
      </w:r>
      <w:proofErr w:type="spellStart"/>
      <w:r>
        <w:t>ακάτειος</w:t>
      </w:r>
      <w:proofErr w:type="spellEnd"/>
      <w:r>
        <w:t>» ή «</w:t>
      </w:r>
      <w:proofErr w:type="spellStart"/>
      <w:r>
        <w:t>αρτέμων</w:t>
      </w:r>
      <w:proofErr w:type="spellEnd"/>
      <w:r>
        <w:t>»), αμφότερο</w:t>
      </w:r>
      <w:r w:rsidR="00AB00CC">
        <w:t>ι</w:t>
      </w:r>
      <w:r>
        <w:t xml:space="preserve"> με ορθογώνια ιστία. Οι τυπικές διαστάσεις του μεγάλου ιστίου ήταν 22 επί 8 μέτρα, ενώ οι διαστάσεις των μικρότερων ιστίων διέφεραν ανάλογα με τον απαιτούμενο βαθμό ευελιξίας. Το μικρότερο ιστίο χρησιμοποιούνταν για ελιγμούς και βοηθητική ιστιοπλοΐα, συχνά ενώ ο κύριος ιστός ήταν κατεβασμένος ή αποθηκευμένος, ιδίως κατά τη διάρκεια ναυμαχίας ή κατά την προετοιμασία της. Η </w:t>
      </w:r>
      <w:proofErr w:type="spellStart"/>
      <w:r>
        <w:t>τριήρης</w:t>
      </w:r>
      <w:proofErr w:type="spellEnd"/>
      <w:r>
        <w:t xml:space="preserve"> έφθανε κατά μέσο όρο τους 8 κόμβους με τα </w:t>
      </w:r>
      <w:r>
        <w:lastRenderedPageBreak/>
        <w:t xml:space="preserve">ιστία και τους 12 κόμβους σε μάχη, χρησιμοποιώντας τη δύναμη των 170 κουπιών σε συνδυασμό με το μικρότερο ιστίο </w:t>
      </w:r>
      <w:r>
        <w:fldChar w:fldCharType="begin"/>
      </w:r>
      <w:r>
        <w:instrText xml:space="preserve"> ADDIN ZOTERO_ITEM CSL_CITATION {"citationID":"jzMZRHSr","properties":{"unsorted":false,"formattedCitation":"[37]","plainCitation":"[37]","noteIndex":0},"citationItems":[{"id":120,"uris":["http://zotero.org/users/19904160/items/RIYD8XXP"],"itemData":{"id":120,"type":"book","publisher":"National Technical University of Athens","publisher-place":"Athens","title":"Introduction to Naval Architecture and Maritime Technology","author":[{"literal":"George Zarafonitis"}],"issued":{"date-parts":[["2015"]]}}}],"schema":"https://github.com/citation-style-language/schema/raw/master/csl-citation.json"} </w:instrText>
      </w:r>
      <w:r>
        <w:fldChar w:fldCharType="separate"/>
      </w:r>
      <w:r>
        <w:rPr>
          <w:rFonts w:cs="Times New Roman"/>
        </w:rPr>
        <w:t>[37]</w:t>
      </w:r>
      <w:r>
        <w:fldChar w:fldCharType="end"/>
      </w:r>
      <w:r>
        <w:t>.</w:t>
      </w:r>
    </w:p>
    <w:p w14:paraId="52221779" w14:textId="37C2A57C" w:rsidR="00452831" w:rsidRPr="00822C2D" w:rsidRDefault="008E34BA" w:rsidP="008137B7">
      <w:pPr>
        <w:spacing w:line="360" w:lineRule="auto"/>
        <w:ind w:firstLine="576"/>
        <w:jc w:val="both"/>
      </w:pPr>
      <w:r>
        <w:rPr>
          <w:noProof/>
        </w:rPr>
        <mc:AlternateContent>
          <mc:Choice Requires="wps">
            <w:drawing>
              <wp:anchor distT="0" distB="0" distL="114300" distR="114300" simplePos="0" relativeHeight="251658256" behindDoc="0" locked="0" layoutInCell="1" allowOverlap="1" wp14:anchorId="5F5471A1" wp14:editId="36E2D584">
                <wp:simplePos x="0" y="0"/>
                <wp:positionH relativeFrom="margin">
                  <wp:posOffset>-149860</wp:posOffset>
                </wp:positionH>
                <wp:positionV relativeFrom="paragraph">
                  <wp:posOffset>4310380</wp:posOffset>
                </wp:positionV>
                <wp:extent cx="5873750" cy="335915"/>
                <wp:effectExtent l="0" t="0" r="0" b="6985"/>
                <wp:wrapSquare wrapText="bothSides"/>
                <wp:docPr id="1498924333" name="Πλαίσιο κειμένου 1"/>
                <wp:cNvGraphicFramePr/>
                <a:graphic xmlns:a="http://schemas.openxmlformats.org/drawingml/2006/main">
                  <a:graphicData uri="http://schemas.microsoft.com/office/word/2010/wordprocessingShape">
                    <wps:wsp>
                      <wps:cNvSpPr txBox="1"/>
                      <wps:spPr>
                        <a:xfrm>
                          <a:off x="0" y="0"/>
                          <a:ext cx="5873750" cy="335915"/>
                        </a:xfrm>
                        <a:prstGeom prst="rect">
                          <a:avLst/>
                        </a:prstGeom>
                        <a:solidFill>
                          <a:prstClr val="white"/>
                        </a:solidFill>
                        <a:ln>
                          <a:noFill/>
                        </a:ln>
                      </wps:spPr>
                      <wps:txbx>
                        <w:txbxContent>
                          <w:p w14:paraId="3EE7CE0F" w14:textId="0C7CF616" w:rsidR="00E27C52" w:rsidRPr="009518C9" w:rsidRDefault="00F822A6" w:rsidP="009518C9">
                            <w:pPr>
                              <w:pStyle w:val="af2"/>
                              <w:jc w:val="center"/>
                              <w:rPr>
                                <w:b/>
                                <w:bCs/>
                                <w:noProof/>
                              </w:rPr>
                            </w:pPr>
                            <w:bookmarkStart w:id="59" w:name="_Ref226129368"/>
                            <w:bookmarkStart w:id="60" w:name="_Ref226129350"/>
                            <w:bookmarkStart w:id="61" w:name="_Ref226129361"/>
                            <w:bookmarkStart w:id="62" w:name="_Toc243077686"/>
                            <w:bookmarkStart w:id="63" w:name="_Toc243355374"/>
                            <w:r>
                              <w:rPr>
                                <w:b/>
                                <w:bCs/>
                              </w:rPr>
                              <w:t>Εικόνα</w:t>
                            </w:r>
                            <w:r w:rsidR="00E27C52">
                              <w:rPr>
                                <w:b/>
                                <w:bCs/>
                              </w:rPr>
                              <w:t xml:space="preserve"> </w:t>
                            </w:r>
                            <w:r w:rsidR="00E27C52">
                              <w:rPr>
                                <w:b/>
                                <w:bCs/>
                              </w:rPr>
                              <w:fldChar w:fldCharType="begin"/>
                            </w:r>
                            <w:r w:rsidR="00E27C52">
                              <w:rPr>
                                <w:b/>
                                <w:bCs/>
                              </w:rPr>
                              <w:instrText xml:space="preserve"> SEQ Figure \* ARABIC </w:instrText>
                            </w:r>
                            <w:r w:rsidR="00E27C52">
                              <w:rPr>
                                <w:b/>
                                <w:bCs/>
                              </w:rPr>
                              <w:fldChar w:fldCharType="separate"/>
                            </w:r>
                            <w:r w:rsidR="00B0043E">
                              <w:rPr>
                                <w:b/>
                                <w:bCs/>
                                <w:noProof/>
                              </w:rPr>
                              <w:t>9</w:t>
                            </w:r>
                            <w:r w:rsidR="00E27C52">
                              <w:rPr>
                                <w:b/>
                                <w:bCs/>
                              </w:rPr>
                              <w:fldChar w:fldCharType="end"/>
                            </w:r>
                            <w:bookmarkEnd w:id="59"/>
                            <w:r w:rsidR="00E27C52">
                              <w:rPr>
                                <w:b/>
                                <w:bCs/>
                              </w:rPr>
                              <w:t>: Αναπαράσταση αρχαίας ελληνικής τριήρους, όπου φαίνετ</w:t>
                            </w:r>
                            <w:r w:rsidR="00E27C52" w:rsidRPr="00DE598F">
                              <w:rPr>
                                <w:b/>
                                <w:bCs/>
                              </w:rPr>
                              <w:t>α</w:t>
                            </w:r>
                            <w:r w:rsidR="00E27C52">
                              <w:rPr>
                                <w:b/>
                                <w:bCs/>
                              </w:rPr>
                              <w:t>ι η συνδυασμένη χρήση ιστίων και κουπιών για την πρόωση.</w:t>
                            </w:r>
                            <w:bookmarkEnd w:id="60"/>
                            <w:bookmarkEnd w:id="61"/>
                            <w:bookmarkEnd w:id="62"/>
                            <w:bookmarkEnd w:id="6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5471A1" id="_x0000_s1032" type="#_x0000_t202" style="position:absolute;left:0;text-align:left;margin-left:-11.8pt;margin-top:339.4pt;width:462.5pt;height:26.45pt;z-index:2516582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" stroked="f">
                <v:textbox inset="0,0,0,0">
                  <w:txbxContent>
                    <w:p w14:paraId="3EE7CE0F" w14:textId="0C7CF616" w:rsidR="00E27C52" w:rsidRPr="009518C9" w:rsidRDefault="00F822A6" w:rsidP="009518C9">
                      <w:pPr>
                        <w:pStyle w:val="af2"/>
                        <w:jc w:val="center"/>
                        <w:rPr>
                          <w:b/>
                          <w:bCs/>
                          <w:noProof/>
                        </w:rPr>
                      </w:pPr>
                      <w:bookmarkStart w:id="64" w:name="_Ref226129368"/>
                      <w:bookmarkStart w:id="65" w:name="_Ref226129350"/>
                      <w:bookmarkStart w:id="66" w:name="_Ref226129361"/>
                      <w:bookmarkStart w:id="67" w:name="_Toc243077686"/>
                      <w:bookmarkStart w:id="68" w:name="_Toc243355374"/>
                      <w:r>
                        <w:rPr>
                          <w:b/>
                          <w:bCs/>
                        </w:rPr>
                        <w:t>Εικόνα</w:t>
                      </w:r>
                      <w:r w:rsidR="00E27C52">
                        <w:rPr>
                          <w:b/>
                          <w:bCs/>
                        </w:rPr>
                        <w:t xml:space="preserve"> </w:t>
                      </w:r>
                      <w:r w:rsidR="00E27C52">
                        <w:rPr>
                          <w:b/>
                          <w:bCs/>
                        </w:rPr>
                        <w:fldChar w:fldCharType="begin"/>
                      </w:r>
                      <w:r w:rsidR="00E27C52">
                        <w:rPr>
                          <w:b/>
                          <w:bCs/>
                        </w:rPr>
                        <w:instrText xml:space="preserve"> SEQ Figure \* ARABIC </w:instrText>
                      </w:r>
                      <w:r w:rsidR="00E27C52">
                        <w:rPr>
                          <w:b/>
                          <w:bCs/>
                        </w:rPr>
                        <w:fldChar w:fldCharType="separate"/>
                      </w:r>
                      <w:r w:rsidR="00B0043E">
                        <w:rPr>
                          <w:b/>
                          <w:bCs/>
                          <w:noProof/>
                        </w:rPr>
                        <w:t>9</w:t>
                      </w:r>
                      <w:r w:rsidR="00E27C52">
                        <w:rPr>
                          <w:b/>
                          <w:bCs/>
                        </w:rPr>
                        <w:fldChar w:fldCharType="end"/>
                      </w:r>
                      <w:bookmarkEnd w:id="64"/>
                      <w:r w:rsidR="00E27C52">
                        <w:rPr>
                          <w:b/>
                          <w:bCs/>
                        </w:rPr>
                        <w:t>: Αναπαράσταση αρχαίας ελληνικής τριήρους, όπου φαίνετ</w:t>
                      </w:r>
                      <w:r w:rsidR="00E27C52" w:rsidRPr="00DE598F">
                        <w:rPr>
                          <w:b/>
                          <w:bCs/>
                        </w:rPr>
                        <w:t>α</w:t>
                      </w:r>
                      <w:r w:rsidR="00E27C52">
                        <w:rPr>
                          <w:b/>
                          <w:bCs/>
                        </w:rPr>
                        <w:t>ι η συνδυασμένη χρήση ιστίων και κουπιών για την πρόωση.</w:t>
                      </w:r>
                      <w:bookmarkEnd w:id="65"/>
                      <w:bookmarkEnd w:id="66"/>
                      <w:bookmarkEnd w:id="67"/>
                      <w:bookmarkEnd w:id="68"/>
                    </w:p>
                  </w:txbxContent>
                </v:textbox>
                <w10:wrap type="square" anchorx="margin"/>
              </v:shape>
            </w:pict>
          </mc:Fallback>
        </mc:AlternateContent>
      </w:r>
      <w:r>
        <w:rPr>
          <w:noProof/>
        </w:rPr>
        <w:drawing>
          <wp:anchor distT="0" distB="0" distL="114300" distR="114300" simplePos="0" relativeHeight="251658255" behindDoc="0" locked="0" layoutInCell="1" allowOverlap="1" wp14:anchorId="4873DC95" wp14:editId="02C08EC1">
            <wp:simplePos x="0" y="0"/>
            <wp:positionH relativeFrom="margin">
              <wp:align>left</wp:align>
            </wp:positionH>
            <wp:positionV relativeFrom="paragraph">
              <wp:posOffset>1067435</wp:posOffset>
            </wp:positionV>
            <wp:extent cx="5343525" cy="3186430"/>
            <wp:effectExtent l="0" t="0" r="9525" b="0"/>
            <wp:wrapSquare wrapText="bothSides"/>
            <wp:docPr id="2101467246" name="Εικόνα 7" descr="Ελληνική Τριήρης (GREEK TRIREM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Ελληνική Τριήρης (GREEK TRIREME), 1/72"/>
                    <pic:cNvPicPr>
                      <a:picLocks noChangeAspect="1" noChangeArrowheads="1"/>
                    </pic:cNvPicPr>
                  </pic:nvPicPr>
                  <pic:blipFill rotWithShape="1">
                    <a:blip r:embed="rId18">
                      <a:extLst>
                        <a:ext uri="{28A0092B-C50C-407E-A947-70E740481C1C}">
                          <a14:useLocalDpi xmlns:a14="http://schemas.microsoft.com/office/drawing/2010/main" val="0"/>
                        </a:ext>
                      </a:extLst>
                    </a:blip>
                    <a:srcRect t="8557" b="11414"/>
                    <a:stretch>
                      <a:fillRect/>
                    </a:stretch>
                  </pic:blipFill>
                  <pic:spPr bwMode="auto">
                    <a:xfrm>
                      <a:off x="0" y="0"/>
                      <a:ext cx="5343525" cy="31864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96A37">
        <w:t>Αργότερα, γύρω στον 5</w:t>
      </w:r>
      <w:r w:rsidR="00E96A37">
        <w:rPr>
          <w:vertAlign w:val="superscript"/>
        </w:rPr>
        <w:t>ο</w:t>
      </w:r>
      <w:r w:rsidR="00E96A37">
        <w:t xml:space="preserve"> αιώνα μ.Χ., οι Κινέζοι αξιοποίησαν την καινοτομία του τροχού για να κατασκευάσουν πλοία με </w:t>
      </w:r>
      <w:proofErr w:type="spellStart"/>
      <w:r w:rsidR="00E96A37">
        <w:t>πτερυγοφόρους</w:t>
      </w:r>
      <w:proofErr w:type="spellEnd"/>
      <w:r w:rsidR="00E96A37">
        <w:t xml:space="preserve"> τροχούς, </w:t>
      </w:r>
      <w:r w:rsidR="00E96A37">
        <w:fldChar w:fldCharType="begin"/>
      </w:r>
      <w:r w:rsidR="00E96A37">
        <w:instrText xml:space="preserve"> REF _Ref226131806 \h </w:instrText>
      </w:r>
      <w:r w:rsidR="00E96A37">
        <w:fldChar w:fldCharType="separate"/>
      </w:r>
      <w:r w:rsidR="00B0043E">
        <w:rPr>
          <w:b/>
          <w:bCs/>
        </w:rPr>
        <w:t xml:space="preserve">Εικόνα </w:t>
      </w:r>
      <w:r w:rsidR="00B0043E">
        <w:rPr>
          <w:b/>
          <w:bCs/>
          <w:noProof/>
        </w:rPr>
        <w:t>10</w:t>
      </w:r>
      <w:r w:rsidR="00E96A37">
        <w:fldChar w:fldCharType="end"/>
      </w:r>
      <w:r w:rsidR="00E96A37">
        <w:t xml:space="preserve">, τα οποία </w:t>
      </w:r>
      <w:r w:rsidR="00C35EC6">
        <w:t>μπορούσαν να ταξιδεύουν σε ποτάμια και παράκτια ύδατα, και με τη βοήθεια του ανέμου.</w:t>
      </w:r>
    </w:p>
    <w:p w14:paraId="00EB6A5B" w14:textId="4FC440C4" w:rsidR="004A21C0" w:rsidRPr="00822C2D" w:rsidRDefault="008E34BA" w:rsidP="00026E92">
      <w:pPr>
        <w:spacing w:line="360" w:lineRule="auto"/>
        <w:jc w:val="both"/>
      </w:pPr>
      <w:r>
        <w:rPr>
          <w:noProof/>
        </w:rPr>
        <w:drawing>
          <wp:anchor distT="0" distB="0" distL="114300" distR="114300" simplePos="0" relativeHeight="251658257" behindDoc="0" locked="0" layoutInCell="1" allowOverlap="1" wp14:anchorId="7C767E6B" wp14:editId="36F59092">
            <wp:simplePos x="0" y="0"/>
            <wp:positionH relativeFrom="margin">
              <wp:align>center</wp:align>
            </wp:positionH>
            <wp:positionV relativeFrom="paragraph">
              <wp:posOffset>3733165</wp:posOffset>
            </wp:positionV>
            <wp:extent cx="2134870" cy="2273935"/>
            <wp:effectExtent l="0" t="0" r="0" b="0"/>
            <wp:wrapSquare wrapText="bothSides"/>
            <wp:docPr id="1591050181"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050181" name="Εικόνα 1591050181"/>
                    <pic:cNvPicPr/>
                  </pic:nvPicPr>
                  <pic:blipFill>
                    <a:blip r:embed="rId19">
                      <a:extLst>
                        <a:ext uri="{28A0092B-C50C-407E-A947-70E740481C1C}">
                          <a14:useLocalDpi xmlns:a14="http://schemas.microsoft.com/office/drawing/2010/main" val="0"/>
                        </a:ext>
                      </a:extLst>
                    </a:blip>
                    <a:stretch>
                      <a:fillRect/>
                    </a:stretch>
                  </pic:blipFill>
                  <pic:spPr>
                    <a:xfrm>
                      <a:off x="0" y="0"/>
                      <a:ext cx="2134870" cy="2273935"/>
                    </a:xfrm>
                    <a:prstGeom prst="rect">
                      <a:avLst/>
                    </a:prstGeom>
                  </pic:spPr>
                </pic:pic>
              </a:graphicData>
            </a:graphic>
            <wp14:sizeRelH relativeFrom="margin">
              <wp14:pctWidth>0</wp14:pctWidth>
            </wp14:sizeRelH>
            <wp14:sizeRelV relativeFrom="margin">
              <wp14:pctHeight>0</wp14:pctHeight>
            </wp14:sizeRelV>
          </wp:anchor>
        </w:drawing>
      </w:r>
    </w:p>
    <w:p w14:paraId="625BE007" w14:textId="77777777" w:rsidR="00ED2E77" w:rsidRPr="00822C2D" w:rsidRDefault="00ED2E77" w:rsidP="004A21C0"/>
    <w:p w14:paraId="79AE4482" w14:textId="77777777" w:rsidR="001201B9" w:rsidRPr="00822C2D" w:rsidRDefault="001201B9" w:rsidP="004A21C0"/>
    <w:p w14:paraId="2D871DF9" w14:textId="4BA2EAF4" w:rsidR="00D7071A" w:rsidRPr="00822C2D" w:rsidRDefault="00D7071A" w:rsidP="004A21C0"/>
    <w:p w14:paraId="33959EEB" w14:textId="2EFA34B1" w:rsidR="00D7071A" w:rsidRPr="00822C2D" w:rsidRDefault="00D7071A" w:rsidP="004A21C0"/>
    <w:p w14:paraId="0DFE5F76" w14:textId="77777777" w:rsidR="001201B9" w:rsidRPr="00822C2D" w:rsidRDefault="001201B9" w:rsidP="004A21C0"/>
    <w:p w14:paraId="72A0ED48" w14:textId="77777777" w:rsidR="001201B9" w:rsidRPr="00822C2D" w:rsidRDefault="001201B9" w:rsidP="004A21C0"/>
    <w:p w14:paraId="22BBE4EF" w14:textId="77777777" w:rsidR="00ED2E77" w:rsidRPr="00822C2D" w:rsidRDefault="00ED2E77" w:rsidP="004A21C0"/>
    <w:p w14:paraId="1D4A6F61" w14:textId="77777777" w:rsidR="00ED2E77" w:rsidRPr="00822C2D" w:rsidRDefault="00ED2E77" w:rsidP="004A21C0"/>
    <w:p w14:paraId="4B9FABD0" w14:textId="7097F2C7" w:rsidR="003D04D6" w:rsidRPr="00822C2D" w:rsidRDefault="008E34BA" w:rsidP="004B24A2">
      <w:r>
        <w:rPr>
          <w:noProof/>
        </w:rPr>
        <mc:AlternateContent>
          <mc:Choice Requires="wps">
            <w:drawing>
              <wp:anchor distT="0" distB="0" distL="114300" distR="114300" simplePos="0" relativeHeight="251658258" behindDoc="0" locked="0" layoutInCell="1" allowOverlap="1" wp14:anchorId="169899E2" wp14:editId="1049B47B">
                <wp:simplePos x="0" y="0"/>
                <wp:positionH relativeFrom="margin">
                  <wp:align>center</wp:align>
                </wp:positionH>
                <wp:positionV relativeFrom="paragraph">
                  <wp:posOffset>3484</wp:posOffset>
                </wp:positionV>
                <wp:extent cx="3562350" cy="196215"/>
                <wp:effectExtent l="0" t="0" r="0" b="0"/>
                <wp:wrapSquare wrapText="bothSides"/>
                <wp:docPr id="122549695" name="Πλαίσιο κειμένου 1"/>
                <wp:cNvGraphicFramePr/>
                <a:graphic xmlns:a="http://schemas.openxmlformats.org/drawingml/2006/main">
                  <a:graphicData uri="http://schemas.microsoft.com/office/word/2010/wordprocessingShape">
                    <wps:wsp>
                      <wps:cNvSpPr txBox="1"/>
                      <wps:spPr>
                        <a:xfrm>
                          <a:off x="0" y="0"/>
                          <a:ext cx="3562350" cy="196215"/>
                        </a:xfrm>
                        <a:prstGeom prst="rect">
                          <a:avLst/>
                        </a:prstGeom>
                        <a:solidFill>
                          <a:prstClr val="white"/>
                        </a:solidFill>
                        <a:ln>
                          <a:noFill/>
                        </a:ln>
                      </wps:spPr>
                      <wps:txbx>
                        <w:txbxContent>
                          <w:p w14:paraId="650D8AD0" w14:textId="19391496" w:rsidR="00026E92" w:rsidRPr="00700520" w:rsidRDefault="00F822A6" w:rsidP="00026E92">
                            <w:pPr>
                              <w:pStyle w:val="af2"/>
                              <w:jc w:val="center"/>
                              <w:rPr>
                                <w:b/>
                                <w:bCs/>
                                <w:noProof/>
                              </w:rPr>
                            </w:pPr>
                            <w:bookmarkStart w:id="69" w:name="_Ref226131806"/>
                            <w:bookmarkStart w:id="70" w:name="_Toc243077687"/>
                            <w:bookmarkStart w:id="71" w:name="_Toc243355375"/>
                            <w:r>
                              <w:rPr>
                                <w:b/>
                                <w:bCs/>
                              </w:rPr>
                              <w:t>Εικόνα</w:t>
                            </w:r>
                            <w:r w:rsidR="00026E92">
                              <w:rPr>
                                <w:b/>
                                <w:bCs/>
                              </w:rPr>
                              <w:t xml:space="preserve"> </w:t>
                            </w:r>
                            <w:r w:rsidR="00026E92">
                              <w:rPr>
                                <w:b/>
                                <w:bCs/>
                              </w:rPr>
                              <w:fldChar w:fldCharType="begin"/>
                            </w:r>
                            <w:r w:rsidR="00026E92">
                              <w:rPr>
                                <w:b/>
                                <w:bCs/>
                              </w:rPr>
                              <w:instrText xml:space="preserve"> SEQ Figure \* ARABIC </w:instrText>
                            </w:r>
                            <w:r w:rsidR="00026E92">
                              <w:rPr>
                                <w:b/>
                                <w:bCs/>
                              </w:rPr>
                              <w:fldChar w:fldCharType="separate"/>
                            </w:r>
                            <w:r w:rsidR="00B0043E">
                              <w:rPr>
                                <w:b/>
                                <w:bCs/>
                                <w:noProof/>
                              </w:rPr>
                              <w:t>10</w:t>
                            </w:r>
                            <w:r w:rsidR="00026E92">
                              <w:rPr>
                                <w:b/>
                                <w:bCs/>
                              </w:rPr>
                              <w:fldChar w:fldCharType="end"/>
                            </w:r>
                            <w:bookmarkEnd w:id="69"/>
                            <w:r w:rsidR="00026E92">
                              <w:rPr>
                                <w:b/>
                                <w:bCs/>
                              </w:rPr>
                              <w:t>: Αρχαίο κινεζικό πλοίο με πτερυγοφόρους τροχούς</w:t>
                            </w:r>
                            <w:bookmarkEnd w:id="70"/>
                            <w:bookmarkEnd w:id="7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9899E2" id="_x0000_s1033" type="#_x0000_t202" style="position:absolute;margin-left:0;margin-top:.25pt;width:280.5pt;height:15.45pt;z-index:25165825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" stroked="f">
                <v:textbox inset="0,0,0,0">
                  <w:txbxContent>
                    <w:p w14:paraId="650D8AD0" w14:textId="19391496" w:rsidR="00026E92" w:rsidRPr="00700520" w:rsidRDefault="00F822A6" w:rsidP="00026E92">
                      <w:pPr>
                        <w:pStyle w:val="af2"/>
                        <w:jc w:val="center"/>
                        <w:rPr>
                          <w:b/>
                          <w:bCs/>
                          <w:noProof/>
                        </w:rPr>
                      </w:pPr>
                      <w:bookmarkStart w:id="72" w:name="_Ref226131806"/>
                      <w:bookmarkStart w:id="73" w:name="_Toc243077687"/>
                      <w:bookmarkStart w:id="74" w:name="_Toc243355375"/>
                      <w:r>
                        <w:rPr>
                          <w:b/>
                          <w:bCs/>
                        </w:rPr>
                        <w:t>Εικόνα</w:t>
                      </w:r>
                      <w:r w:rsidR="00026E92">
                        <w:rPr>
                          <w:b/>
                          <w:bCs/>
                        </w:rPr>
                        <w:t xml:space="preserve"> </w:t>
                      </w:r>
                      <w:r w:rsidR="00026E92">
                        <w:rPr>
                          <w:b/>
                          <w:bCs/>
                        </w:rPr>
                        <w:fldChar w:fldCharType="begin"/>
                      </w:r>
                      <w:r w:rsidR="00026E92">
                        <w:rPr>
                          <w:b/>
                          <w:bCs/>
                        </w:rPr>
                        <w:instrText xml:space="preserve"> SEQ Figure \* ARABIC </w:instrText>
                      </w:r>
                      <w:r w:rsidR="00026E92">
                        <w:rPr>
                          <w:b/>
                          <w:bCs/>
                        </w:rPr>
                        <w:fldChar w:fldCharType="separate"/>
                      </w:r>
                      <w:r w:rsidR="00B0043E">
                        <w:rPr>
                          <w:b/>
                          <w:bCs/>
                          <w:noProof/>
                        </w:rPr>
                        <w:t>10</w:t>
                      </w:r>
                      <w:r w:rsidR="00026E92">
                        <w:rPr>
                          <w:b/>
                          <w:bCs/>
                        </w:rPr>
                        <w:fldChar w:fldCharType="end"/>
                      </w:r>
                      <w:bookmarkEnd w:id="72"/>
                      <w:r w:rsidR="00026E92">
                        <w:rPr>
                          <w:b/>
                          <w:bCs/>
                        </w:rPr>
                        <w:t>: Αρχαίο κινεζικό πλοίο με πτερυγοφόρους τροχούς</w:t>
                      </w:r>
                      <w:bookmarkEnd w:id="73"/>
                      <w:bookmarkEnd w:id="74"/>
                    </w:p>
                  </w:txbxContent>
                </v:textbox>
                <w10:wrap type="square" anchorx="margin"/>
              </v:shape>
            </w:pict>
          </mc:Fallback>
        </mc:AlternateContent>
      </w:r>
    </w:p>
    <w:p w14:paraId="4066BF79" w14:textId="47CBCD83" w:rsidR="00703925" w:rsidRPr="00C84D66" w:rsidRDefault="00703925" w:rsidP="00B64CBB">
      <w:pPr>
        <w:spacing w:line="360" w:lineRule="auto"/>
        <w:jc w:val="both"/>
      </w:pPr>
    </w:p>
    <w:p w14:paraId="40CC6757" w14:textId="399411C5" w:rsidR="00026E92" w:rsidRPr="00822C2D" w:rsidRDefault="00C1097F" w:rsidP="008137B7">
      <w:pPr>
        <w:spacing w:line="360" w:lineRule="auto"/>
        <w:ind w:firstLine="576"/>
        <w:jc w:val="both"/>
      </w:pPr>
      <w:r>
        <w:rPr>
          <w:noProof/>
        </w:rPr>
        <w:lastRenderedPageBreak/>
        <mc:AlternateContent>
          <mc:Choice Requires="wps">
            <w:drawing>
              <wp:anchor distT="0" distB="0" distL="114300" distR="114300" simplePos="0" relativeHeight="251658260" behindDoc="0" locked="0" layoutInCell="1" allowOverlap="1" wp14:anchorId="143E6F48" wp14:editId="007A96D3">
                <wp:simplePos x="0" y="0"/>
                <wp:positionH relativeFrom="margin">
                  <wp:align>right</wp:align>
                </wp:positionH>
                <wp:positionV relativeFrom="paragraph">
                  <wp:posOffset>4116705</wp:posOffset>
                </wp:positionV>
                <wp:extent cx="5083810" cy="201295"/>
                <wp:effectExtent l="0" t="0" r="2540" b="8255"/>
                <wp:wrapSquare wrapText="bothSides"/>
                <wp:docPr id="373692147" name="Πλαίσιο κειμένου 1"/>
                <wp:cNvGraphicFramePr/>
                <a:graphic xmlns:a="http://schemas.openxmlformats.org/drawingml/2006/main">
                  <a:graphicData uri="http://schemas.microsoft.com/office/word/2010/wordprocessingShape">
                    <wps:wsp>
                      <wps:cNvSpPr txBox="1"/>
                      <wps:spPr>
                        <a:xfrm>
                          <a:off x="0" y="0"/>
                          <a:ext cx="5083810" cy="201295"/>
                        </a:xfrm>
                        <a:prstGeom prst="rect">
                          <a:avLst/>
                        </a:prstGeom>
                        <a:solidFill>
                          <a:prstClr val="white"/>
                        </a:solidFill>
                        <a:ln>
                          <a:noFill/>
                        </a:ln>
                      </wps:spPr>
                      <wps:txbx>
                        <w:txbxContent>
                          <w:p w14:paraId="532CC01E" w14:textId="2EDFB0A7" w:rsidR="00700520" w:rsidRPr="00700520" w:rsidRDefault="00F822A6" w:rsidP="00700520">
                            <w:pPr>
                              <w:pStyle w:val="af2"/>
                              <w:jc w:val="center"/>
                              <w:rPr>
                                <w:b/>
                                <w:bCs/>
                                <w:noProof/>
                              </w:rPr>
                            </w:pPr>
                            <w:bookmarkStart w:id="75" w:name="_Ref226131746"/>
                            <w:bookmarkStart w:id="76" w:name="_Toc243077688"/>
                            <w:bookmarkStart w:id="77" w:name="_Toc243355376"/>
                            <w:r>
                              <w:rPr>
                                <w:b/>
                                <w:bCs/>
                              </w:rPr>
                              <w:t>Εικόνα</w:t>
                            </w:r>
                            <w:r w:rsidR="00700520">
                              <w:rPr>
                                <w:b/>
                                <w:bCs/>
                              </w:rPr>
                              <w:t xml:space="preserve"> </w:t>
                            </w:r>
                            <w:r w:rsidR="00700520">
                              <w:rPr>
                                <w:b/>
                                <w:bCs/>
                              </w:rPr>
                              <w:fldChar w:fldCharType="begin"/>
                            </w:r>
                            <w:r w:rsidR="00700520">
                              <w:rPr>
                                <w:b/>
                                <w:bCs/>
                              </w:rPr>
                              <w:instrText xml:space="preserve"> SEQ Figure \* ARABIC </w:instrText>
                            </w:r>
                            <w:r w:rsidR="00700520">
                              <w:rPr>
                                <w:b/>
                                <w:bCs/>
                              </w:rPr>
                              <w:fldChar w:fldCharType="separate"/>
                            </w:r>
                            <w:r w:rsidR="00B0043E">
                              <w:rPr>
                                <w:b/>
                                <w:bCs/>
                                <w:noProof/>
                              </w:rPr>
                              <w:t>11</w:t>
                            </w:r>
                            <w:r w:rsidR="00700520">
                              <w:rPr>
                                <w:b/>
                                <w:bCs/>
                              </w:rPr>
                              <w:fldChar w:fldCharType="end"/>
                            </w:r>
                            <w:bookmarkEnd w:id="75"/>
                            <w:r w:rsidR="00700520">
                              <w:rPr>
                                <w:b/>
                                <w:bCs/>
                              </w:rPr>
                              <w:t>: Ο δρόμων της Βυζαντινής Αυτοκρατορίας</w:t>
                            </w:r>
                            <w:bookmarkEnd w:id="76"/>
                            <w:bookmarkEnd w:id="7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3E6F48" id="_x0000_s1034" type="#_x0000_t202" style="position:absolute;left:0;text-align:left;margin-left:349.1pt;margin-top:324.15pt;width:400.3pt;height:15.85pt;z-index:25165826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" stroked="f">
                <v:textbox inset="0,0,0,0">
                  <w:txbxContent>
                    <w:p w14:paraId="532CC01E" w14:textId="2EDFB0A7" w:rsidR="00700520" w:rsidRPr="00700520" w:rsidRDefault="00F822A6" w:rsidP="00700520">
                      <w:pPr>
                        <w:pStyle w:val="af2"/>
                        <w:jc w:val="center"/>
                        <w:rPr>
                          <w:b/>
                          <w:bCs/>
                          <w:noProof/>
                        </w:rPr>
                      </w:pPr>
                      <w:bookmarkStart w:id="78" w:name="_Ref226131746"/>
                      <w:bookmarkStart w:id="79" w:name="_Toc243077688"/>
                      <w:bookmarkStart w:id="80" w:name="_Toc243355376"/>
                      <w:r>
                        <w:rPr>
                          <w:b/>
                          <w:bCs/>
                        </w:rPr>
                        <w:t>Εικόνα</w:t>
                      </w:r>
                      <w:r w:rsidR="00700520">
                        <w:rPr>
                          <w:b/>
                          <w:bCs/>
                        </w:rPr>
                        <w:t xml:space="preserve"> </w:t>
                      </w:r>
                      <w:r w:rsidR="00700520">
                        <w:rPr>
                          <w:b/>
                          <w:bCs/>
                        </w:rPr>
                        <w:fldChar w:fldCharType="begin"/>
                      </w:r>
                      <w:r w:rsidR="00700520">
                        <w:rPr>
                          <w:b/>
                          <w:bCs/>
                        </w:rPr>
                        <w:instrText xml:space="preserve"> SEQ Figure \* ARABIC </w:instrText>
                      </w:r>
                      <w:r w:rsidR="00700520">
                        <w:rPr>
                          <w:b/>
                          <w:bCs/>
                        </w:rPr>
                        <w:fldChar w:fldCharType="separate"/>
                      </w:r>
                      <w:r w:rsidR="00B0043E">
                        <w:rPr>
                          <w:b/>
                          <w:bCs/>
                          <w:noProof/>
                        </w:rPr>
                        <w:t>11</w:t>
                      </w:r>
                      <w:r w:rsidR="00700520">
                        <w:rPr>
                          <w:b/>
                          <w:bCs/>
                        </w:rPr>
                        <w:fldChar w:fldCharType="end"/>
                      </w:r>
                      <w:bookmarkEnd w:id="78"/>
                      <w:r w:rsidR="00700520">
                        <w:rPr>
                          <w:b/>
                          <w:bCs/>
                        </w:rPr>
                        <w:t>: Ο δρόμων της Βυζαντινής Αυτοκρατορίας</w:t>
                      </w:r>
                      <w:bookmarkEnd w:id="79"/>
                      <w:bookmarkEnd w:id="80"/>
                    </w:p>
                  </w:txbxContent>
                </v:textbox>
                <w10:wrap type="square" anchorx="margin"/>
              </v:shape>
            </w:pict>
          </mc:Fallback>
        </mc:AlternateContent>
      </w:r>
      <w:r>
        <w:rPr>
          <w:noProof/>
        </w:rPr>
        <w:drawing>
          <wp:anchor distT="0" distB="0" distL="114300" distR="114300" simplePos="0" relativeHeight="251658259" behindDoc="0" locked="0" layoutInCell="1" allowOverlap="1" wp14:anchorId="326B5771" wp14:editId="6AC0FAEF">
            <wp:simplePos x="0" y="0"/>
            <wp:positionH relativeFrom="margin">
              <wp:align>center</wp:align>
            </wp:positionH>
            <wp:positionV relativeFrom="paragraph">
              <wp:posOffset>1173824</wp:posOffset>
            </wp:positionV>
            <wp:extent cx="5083810" cy="2802890"/>
            <wp:effectExtent l="0" t="0" r="2540" b="0"/>
            <wp:wrapSquare wrapText="bothSides"/>
            <wp:docPr id="464691254"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691254" name="Εικόνα 464691254"/>
                    <pic:cNvPicPr/>
                  </pic:nvPicPr>
                  <pic:blipFill>
                    <a:blip r:embed="rId20">
                      <a:extLst>
                        <a:ext uri="{28A0092B-C50C-407E-A947-70E740481C1C}">
                          <a14:useLocalDpi xmlns:a14="http://schemas.microsoft.com/office/drawing/2010/main" val="0"/>
                        </a:ext>
                      </a:extLst>
                    </a:blip>
                    <a:stretch>
                      <a:fillRect/>
                    </a:stretch>
                  </pic:blipFill>
                  <pic:spPr>
                    <a:xfrm>
                      <a:off x="0" y="0"/>
                      <a:ext cx="5083810" cy="2802890"/>
                    </a:xfrm>
                    <a:prstGeom prst="rect">
                      <a:avLst/>
                    </a:prstGeom>
                  </pic:spPr>
                </pic:pic>
              </a:graphicData>
            </a:graphic>
            <wp14:sizeRelH relativeFrom="margin">
              <wp14:pctWidth>0</wp14:pctWidth>
            </wp14:sizeRelH>
            <wp14:sizeRelV relativeFrom="margin">
              <wp14:pctHeight>0</wp14:pctHeight>
            </wp14:sizeRelV>
          </wp:anchor>
        </w:drawing>
      </w:r>
      <w:r w:rsidR="00B64CBB">
        <w:t xml:space="preserve">Την ίδια περίπου εποχή, η Βυζαντινή Αυτοκρατορία άρχισε να επεκτείνεται πολιτικά και οικονομικά μέσω του εμπορίου. Ως αποτέλεσμα, οι Βυζαντινοί κατασκεύασαν το δικό τους πλοίο, τον δρόμωνα, </w:t>
      </w:r>
      <w:r w:rsidR="00B64CBB">
        <w:fldChar w:fldCharType="begin"/>
      </w:r>
      <w:r w:rsidR="00B64CBB">
        <w:instrText xml:space="preserve"> REF _Ref226131746 \h </w:instrText>
      </w:r>
      <w:r w:rsidR="00B64CBB">
        <w:fldChar w:fldCharType="separate"/>
      </w:r>
      <w:r w:rsidR="00B0043E">
        <w:rPr>
          <w:b/>
          <w:bCs/>
        </w:rPr>
        <w:t xml:space="preserve">Εικόνα </w:t>
      </w:r>
      <w:r w:rsidR="00B0043E">
        <w:rPr>
          <w:b/>
          <w:bCs/>
          <w:noProof/>
        </w:rPr>
        <w:t>11</w:t>
      </w:r>
      <w:r w:rsidR="00B64CBB">
        <w:fldChar w:fldCharType="end"/>
      </w:r>
      <w:r w:rsidR="00B64CBB">
        <w:t>, ο οποίος κινούνταν με τριγωνικά ιστία.</w:t>
      </w:r>
    </w:p>
    <w:p w14:paraId="59891155" w14:textId="77777777" w:rsidR="00C1097F" w:rsidRDefault="00C1097F" w:rsidP="008137B7">
      <w:pPr>
        <w:spacing w:line="360" w:lineRule="auto"/>
        <w:ind w:firstLine="576"/>
        <w:jc w:val="both"/>
      </w:pPr>
    </w:p>
    <w:p w14:paraId="7CA53B09" w14:textId="79F8D179" w:rsidR="00B948EF" w:rsidRDefault="00B64CBB" w:rsidP="008137B7">
      <w:pPr>
        <w:spacing w:line="360" w:lineRule="auto"/>
        <w:ind w:firstLine="576"/>
        <w:jc w:val="both"/>
      </w:pPr>
      <w:r>
        <w:t>Επειδή το πλοίο μπορούσε, με τους κατάλληλους χειρισμούς, να πλέει κόντρα στον άνεμο και όχι μόνο με ευνοϊκό άνεμο</w:t>
      </w:r>
      <w:r w:rsidR="008137B7">
        <w:t xml:space="preserve"> (</w:t>
      </w:r>
      <w:proofErr w:type="spellStart"/>
      <w:r w:rsidR="008137B7">
        <w:t>πρύμα</w:t>
      </w:r>
      <w:proofErr w:type="spellEnd"/>
      <w:r w:rsidR="008137B7">
        <w:t>)</w:t>
      </w:r>
      <w:r>
        <w:t xml:space="preserve">, θεωρήθηκε η σημαντικότερη εφεύρεση της εποχής. Η ίδια αρχή εξακολουθεί να ισχύει έως σήμερα, </w:t>
      </w:r>
      <w:r>
        <w:rPr>
          <w:b/>
          <w:bCs/>
        </w:rPr>
        <w:fldChar w:fldCharType="begin"/>
      </w:r>
      <w:r>
        <w:rPr>
          <w:b/>
          <w:bCs/>
        </w:rPr>
        <w:instrText xml:space="preserve"> REF _Ref227057336 \h  \* MERGEFORMAT </w:instrText>
      </w:r>
      <w:r>
        <w:rPr>
          <w:b/>
          <w:bCs/>
        </w:rPr>
      </w:r>
      <w:r>
        <w:rPr>
          <w:b/>
          <w:bCs/>
        </w:rPr>
        <w:fldChar w:fldCharType="separate"/>
      </w:r>
      <w:r w:rsidR="00B0043E">
        <w:rPr>
          <w:b/>
          <w:bCs/>
        </w:rPr>
        <w:t>Εικόνα 12</w:t>
      </w:r>
      <w:r>
        <w:rPr>
          <w:b/>
          <w:bCs/>
        </w:rPr>
        <w:fldChar w:fldCharType="end"/>
      </w:r>
      <w:r>
        <w:t>.</w:t>
      </w:r>
    </w:p>
    <w:p w14:paraId="69D6BE94" w14:textId="77777777" w:rsidR="00B948EF" w:rsidRDefault="00B948EF" w:rsidP="00B64CBB">
      <w:pPr>
        <w:spacing w:line="360" w:lineRule="auto"/>
        <w:jc w:val="both"/>
      </w:pPr>
      <w:r>
        <w:rPr>
          <w:noProof/>
        </w:rPr>
        <w:drawing>
          <wp:anchor distT="0" distB="0" distL="114300" distR="114300" simplePos="0" relativeHeight="251658261" behindDoc="0" locked="0" layoutInCell="1" allowOverlap="1" wp14:anchorId="3309A223" wp14:editId="7E3F7D0D">
            <wp:simplePos x="0" y="0"/>
            <wp:positionH relativeFrom="margin">
              <wp:align>center</wp:align>
            </wp:positionH>
            <wp:positionV relativeFrom="paragraph">
              <wp:posOffset>173038</wp:posOffset>
            </wp:positionV>
            <wp:extent cx="2992120" cy="2087245"/>
            <wp:effectExtent l="0" t="0" r="0" b="8255"/>
            <wp:wrapSquare wrapText="bothSides"/>
            <wp:docPr id="115928758" name="Εικόνα 13" descr="Heavy weather dynamics: the behaviour of yachts sailing upwind in high winds  | Nordkyn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avy weather dynamics: the behaviour of yachts sailing upwind in high winds  | Nordkyn Desig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92120" cy="20872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5A2CC6" w14:textId="77777777" w:rsidR="00B948EF" w:rsidRDefault="00B948EF" w:rsidP="00B64CBB">
      <w:pPr>
        <w:spacing w:line="360" w:lineRule="auto"/>
        <w:jc w:val="both"/>
      </w:pPr>
    </w:p>
    <w:p w14:paraId="14748F2F" w14:textId="77777777" w:rsidR="00B948EF" w:rsidRDefault="00B948EF" w:rsidP="00B64CBB">
      <w:pPr>
        <w:spacing w:line="360" w:lineRule="auto"/>
        <w:jc w:val="both"/>
      </w:pPr>
    </w:p>
    <w:p w14:paraId="56A5BD3D" w14:textId="77777777" w:rsidR="00B948EF" w:rsidRDefault="00B948EF" w:rsidP="00B64CBB">
      <w:pPr>
        <w:spacing w:line="360" w:lineRule="auto"/>
        <w:jc w:val="both"/>
      </w:pPr>
    </w:p>
    <w:p w14:paraId="2F59ABB9" w14:textId="77777777" w:rsidR="00B948EF" w:rsidRDefault="00B948EF" w:rsidP="00B64CBB">
      <w:pPr>
        <w:spacing w:line="360" w:lineRule="auto"/>
        <w:jc w:val="both"/>
      </w:pPr>
    </w:p>
    <w:p w14:paraId="1E1D9487" w14:textId="77777777" w:rsidR="00B948EF" w:rsidRDefault="00B948EF" w:rsidP="00B64CBB">
      <w:pPr>
        <w:spacing w:line="360" w:lineRule="auto"/>
        <w:jc w:val="both"/>
      </w:pPr>
    </w:p>
    <w:p w14:paraId="6FD7BAFC" w14:textId="77777777" w:rsidR="00B948EF" w:rsidRDefault="00B948EF" w:rsidP="00B64CBB">
      <w:pPr>
        <w:spacing w:line="360" w:lineRule="auto"/>
        <w:jc w:val="both"/>
      </w:pPr>
      <w:r>
        <w:rPr>
          <w:noProof/>
        </w:rPr>
        <mc:AlternateContent>
          <mc:Choice Requires="wps">
            <w:drawing>
              <wp:anchor distT="0" distB="0" distL="114300" distR="114300" simplePos="0" relativeHeight="251658262" behindDoc="0" locked="0" layoutInCell="1" allowOverlap="1" wp14:anchorId="74742D93" wp14:editId="7780D665">
                <wp:simplePos x="0" y="0"/>
                <wp:positionH relativeFrom="margin">
                  <wp:align>center</wp:align>
                </wp:positionH>
                <wp:positionV relativeFrom="paragraph">
                  <wp:posOffset>273050</wp:posOffset>
                </wp:positionV>
                <wp:extent cx="3563620" cy="635"/>
                <wp:effectExtent l="0" t="0" r="0" b="0"/>
                <wp:wrapSquare wrapText="bothSides"/>
                <wp:docPr id="1247389812" name="Πλαίσιο κειμένου 1"/>
                <wp:cNvGraphicFramePr/>
                <a:graphic xmlns:a="http://schemas.openxmlformats.org/drawingml/2006/main">
                  <a:graphicData uri="http://schemas.microsoft.com/office/word/2010/wordprocessingShape">
                    <wps:wsp>
                      <wps:cNvSpPr txBox="1"/>
                      <wps:spPr>
                        <a:xfrm>
                          <a:off x="0" y="0"/>
                          <a:ext cx="3563620" cy="635"/>
                        </a:xfrm>
                        <a:prstGeom prst="rect">
                          <a:avLst/>
                        </a:prstGeom>
                        <a:solidFill>
                          <a:prstClr val="white"/>
                        </a:solidFill>
                        <a:ln>
                          <a:noFill/>
                        </a:ln>
                      </wps:spPr>
                      <wps:txbx>
                        <w:txbxContent>
                          <w:p w14:paraId="1E14FD8E" w14:textId="3AA94C4C" w:rsidR="007A09CD" w:rsidRPr="00227036" w:rsidRDefault="00F822A6" w:rsidP="006603B7">
                            <w:pPr>
                              <w:pStyle w:val="af2"/>
                              <w:jc w:val="center"/>
                              <w:rPr>
                                <w:b/>
                                <w:bCs/>
                                <w:noProof/>
                              </w:rPr>
                            </w:pPr>
                            <w:bookmarkStart w:id="81" w:name="_Ref227057336"/>
                            <w:bookmarkStart w:id="82" w:name="_Toc243077689"/>
                            <w:bookmarkStart w:id="83" w:name="_Toc243355377"/>
                            <w:r>
                              <w:rPr>
                                <w:b/>
                                <w:bCs/>
                              </w:rPr>
                              <w:t>Εικόνα</w:t>
                            </w:r>
                            <w:r w:rsidR="007A09CD">
                              <w:rPr>
                                <w:b/>
                                <w:bCs/>
                              </w:rPr>
                              <w:t xml:space="preserve"> </w:t>
                            </w:r>
                            <w:r w:rsidR="007A09CD">
                              <w:rPr>
                                <w:b/>
                                <w:bCs/>
                              </w:rPr>
                              <w:fldChar w:fldCharType="begin"/>
                            </w:r>
                            <w:r w:rsidR="007A09CD">
                              <w:rPr>
                                <w:b/>
                                <w:bCs/>
                              </w:rPr>
                              <w:instrText xml:space="preserve"> SEQ Figure \* ARABIC </w:instrText>
                            </w:r>
                            <w:r w:rsidR="007A09CD">
                              <w:rPr>
                                <w:b/>
                                <w:bCs/>
                              </w:rPr>
                              <w:fldChar w:fldCharType="separate"/>
                            </w:r>
                            <w:r w:rsidR="00B0043E">
                              <w:rPr>
                                <w:b/>
                                <w:bCs/>
                                <w:noProof/>
                              </w:rPr>
                              <w:t>12</w:t>
                            </w:r>
                            <w:r w:rsidR="007A09CD">
                              <w:rPr>
                                <w:b/>
                                <w:bCs/>
                              </w:rPr>
                              <w:fldChar w:fldCharType="end"/>
                            </w:r>
                            <w:bookmarkEnd w:id="81"/>
                            <w:r w:rsidR="007A09CD">
                              <w:rPr>
                                <w:b/>
                                <w:bCs/>
                              </w:rPr>
                              <w:t>: Σύγχρονο ιστιοφόρο που πλέει προς τον άνεμο (όρτσα), χρησιμοποιώντας τριγωνικά ιστία</w:t>
                            </w:r>
                            <w:bookmarkEnd w:id="82"/>
                            <w:bookmarkEnd w:id="8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4742D93" id="_x0000_s1035" type="#_x0000_t202" style="position:absolute;left:0;text-align:left;margin-left:0;margin-top:21.5pt;width:280.6pt;height:.05pt;z-index:25165826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" stroked="f">
                <v:textbox style="mso-fit-shape-to-text:t" inset="0,0,0,0">
                  <w:txbxContent>
                    <w:p w14:paraId="1E14FD8E" w14:textId="3AA94C4C" w:rsidR="007A09CD" w:rsidRPr="00227036" w:rsidRDefault="00F822A6" w:rsidP="006603B7">
                      <w:pPr>
                        <w:pStyle w:val="af2"/>
                        <w:jc w:val="center"/>
                        <w:rPr>
                          <w:b/>
                          <w:bCs/>
                          <w:noProof/>
                        </w:rPr>
                      </w:pPr>
                      <w:bookmarkStart w:id="84" w:name="_Ref227057336"/>
                      <w:bookmarkStart w:id="85" w:name="_Toc243077689"/>
                      <w:bookmarkStart w:id="86" w:name="_Toc243355377"/>
                      <w:r>
                        <w:rPr>
                          <w:b/>
                          <w:bCs/>
                        </w:rPr>
                        <w:t>Εικόνα</w:t>
                      </w:r>
                      <w:r w:rsidR="007A09CD">
                        <w:rPr>
                          <w:b/>
                          <w:bCs/>
                        </w:rPr>
                        <w:t xml:space="preserve"> </w:t>
                      </w:r>
                      <w:r w:rsidR="007A09CD">
                        <w:rPr>
                          <w:b/>
                          <w:bCs/>
                        </w:rPr>
                        <w:fldChar w:fldCharType="begin"/>
                      </w:r>
                      <w:r w:rsidR="007A09CD">
                        <w:rPr>
                          <w:b/>
                          <w:bCs/>
                        </w:rPr>
                        <w:instrText xml:space="preserve"> SEQ Figure \* ARABIC </w:instrText>
                      </w:r>
                      <w:r w:rsidR="007A09CD">
                        <w:rPr>
                          <w:b/>
                          <w:bCs/>
                        </w:rPr>
                        <w:fldChar w:fldCharType="separate"/>
                      </w:r>
                      <w:r w:rsidR="00B0043E">
                        <w:rPr>
                          <w:b/>
                          <w:bCs/>
                          <w:noProof/>
                        </w:rPr>
                        <w:t>12</w:t>
                      </w:r>
                      <w:r w:rsidR="007A09CD">
                        <w:rPr>
                          <w:b/>
                          <w:bCs/>
                        </w:rPr>
                        <w:fldChar w:fldCharType="end"/>
                      </w:r>
                      <w:bookmarkEnd w:id="84"/>
                      <w:r w:rsidR="007A09CD">
                        <w:rPr>
                          <w:b/>
                          <w:bCs/>
                        </w:rPr>
                        <w:t>: Σύγχρονο ιστιοφόρο που πλέει προς τον άνεμο (όρτσα), χρησιμοποιώντας τριγωνικά ιστία</w:t>
                      </w:r>
                      <w:bookmarkEnd w:id="85"/>
                      <w:bookmarkEnd w:id="86"/>
                    </w:p>
                  </w:txbxContent>
                </v:textbox>
                <w10:wrap type="square" anchorx="margin"/>
              </v:shape>
            </w:pict>
          </mc:Fallback>
        </mc:AlternateContent>
      </w:r>
    </w:p>
    <w:p w14:paraId="422D3B60" w14:textId="77777777" w:rsidR="00B948EF" w:rsidRDefault="00B948EF" w:rsidP="00B64CBB">
      <w:pPr>
        <w:spacing w:line="360" w:lineRule="auto"/>
        <w:jc w:val="both"/>
      </w:pPr>
    </w:p>
    <w:p w14:paraId="5C4BA605" w14:textId="77777777" w:rsidR="00B948EF" w:rsidRDefault="00B948EF" w:rsidP="00B64CBB">
      <w:pPr>
        <w:spacing w:line="360" w:lineRule="auto"/>
        <w:jc w:val="both"/>
      </w:pPr>
    </w:p>
    <w:p w14:paraId="5D2CE6FB" w14:textId="2B5E93EB" w:rsidR="00FC204C" w:rsidRDefault="00483B62" w:rsidP="008137B7">
      <w:pPr>
        <w:spacing w:line="360" w:lineRule="auto"/>
        <w:ind w:firstLine="576"/>
        <w:jc w:val="both"/>
      </w:pPr>
      <w:r>
        <w:lastRenderedPageBreak/>
        <w:t>Μεταξύ του πέμπτου και του δέκατου πέμπτου αιώνα μ.Χ. κατασκευάστηκαν ορισμένα αξιοσημείωτα ιστιοφόρα, όπως τα «μακρά πλοία» (</w:t>
      </w:r>
      <w:proofErr w:type="spellStart"/>
      <w:r>
        <w:t>long</w:t>
      </w:r>
      <w:proofErr w:type="spellEnd"/>
      <w:r>
        <w:t xml:space="preserve"> </w:t>
      </w:r>
      <w:proofErr w:type="spellStart"/>
      <w:r>
        <w:t>ships</w:t>
      </w:r>
      <w:proofErr w:type="spellEnd"/>
      <w:r>
        <w:t xml:space="preserve">) των Βίκινγκ, οι βενετικές γαλέρες, το </w:t>
      </w:r>
      <w:proofErr w:type="spellStart"/>
      <w:r>
        <w:t>βορειοευρωπαϊκό</w:t>
      </w:r>
      <w:proofErr w:type="spellEnd"/>
      <w:r>
        <w:t xml:space="preserve"> «</w:t>
      </w:r>
      <w:proofErr w:type="spellStart"/>
      <w:r>
        <w:t>kogge</w:t>
      </w:r>
      <w:proofErr w:type="spellEnd"/>
      <w:r>
        <w:t>» και το σκανδιναβικό «</w:t>
      </w:r>
      <w:proofErr w:type="spellStart"/>
      <w:r>
        <w:t>knar</w:t>
      </w:r>
      <w:proofErr w:type="spellEnd"/>
      <w:r>
        <w:t xml:space="preserve">». Για όλους αυτούς τους τύπους, ο άνεμος ήταν το κύριο μέσο πρόωσης τόσο για το εμπόριο όσο και για τη μάχη. Μέχρι την Αναγέννηση, η περίοδος αυτή είναι γνωστή ως η «Χρυσή Εποχή των ιστιοφόρων», όταν άρχισαν να κατασκευάζονται μεγαλύτερα πλοία με μεγαλύτερη μεταφορική ικανότητα και υψηλότερες ταχύτητες. Παραδείγματα τέτοιων πλοίων είναι το </w:t>
      </w:r>
      <w:proofErr w:type="spellStart"/>
      <w:r w:rsidRPr="00D15EE8">
        <w:rPr>
          <w:i/>
          <w:iCs/>
        </w:rPr>
        <w:t>Preussen</w:t>
      </w:r>
      <w:proofErr w:type="spellEnd"/>
      <w:r>
        <w:t xml:space="preserve">, που κατασκευάστηκε στη Γερμανία, και το </w:t>
      </w:r>
      <w:proofErr w:type="spellStart"/>
      <w:r w:rsidRPr="00D15EE8">
        <w:rPr>
          <w:i/>
          <w:iCs/>
        </w:rPr>
        <w:t>Thomas</w:t>
      </w:r>
      <w:proofErr w:type="spellEnd"/>
      <w:r w:rsidRPr="00D15EE8">
        <w:rPr>
          <w:i/>
          <w:iCs/>
        </w:rPr>
        <w:t xml:space="preserve"> W. </w:t>
      </w:r>
      <w:proofErr w:type="spellStart"/>
      <w:r w:rsidRPr="00D15EE8">
        <w:rPr>
          <w:i/>
          <w:iCs/>
        </w:rPr>
        <w:t>Lawson</w:t>
      </w:r>
      <w:proofErr w:type="spellEnd"/>
      <w:r>
        <w:t>, που κατασκευάστηκε στις ΗΠΑ. Τα πλοία αυτά, με συνολική επιφάνεια ιστίων 6806 τετραγωνικά μέτρα και 4</w:t>
      </w:r>
      <w:r w:rsidR="008A4AAF">
        <w:t>.</w:t>
      </w:r>
      <w:r>
        <w:t xml:space="preserve">000 τετραγωνικά μέτρα αντίστοιχα, είχαν μήκος περίπου 150 μέτρα και πλάτος 15 μέτρα. Το </w:t>
      </w:r>
      <w:proofErr w:type="spellStart"/>
      <w:r>
        <w:t>Preussen</w:t>
      </w:r>
      <w:proofErr w:type="spellEnd"/>
      <w:r>
        <w:t>, ειδικότερα, είχε εκτόπισμα περίπου 11</w:t>
      </w:r>
      <w:r w:rsidR="008A4AAF">
        <w:t>.</w:t>
      </w:r>
      <w:r>
        <w:t>150 τόνων και, σ</w:t>
      </w:r>
      <w:r w:rsidR="008A4AAF">
        <w:t>ε μια</w:t>
      </w:r>
      <w:r>
        <w:t xml:space="preserve"> διαδρομή του από τη Γερμανία προς τη Χιλή, ανέπτυσσε ταχύτητα περίπου 20</w:t>
      </w:r>
      <w:r w:rsidR="008A4AAF">
        <w:t>,</w:t>
      </w:r>
      <w:r>
        <w:t>5 κόμβων υπό ευνοϊκές συνθήκες ανέμου. Καθώς έληγε η 2</w:t>
      </w:r>
      <w:r>
        <w:rPr>
          <w:vertAlign w:val="superscript"/>
        </w:rPr>
        <w:t>η</w:t>
      </w:r>
      <w:r>
        <w:t xml:space="preserve"> Βιομηχανική Επανάσταση και τα ατμόπλοια επικρατούσαν, τα ιστιοφόρα άρχισαν να αποσύρονται από το διεθνές εμπόριο τον 20ό αιώνα μ.Χ. Ο άνεμος αποτέλεσε επίσης κύρια πηγή ενέργειας για αιώνες κατά την Εποχή των Ιστιοφόρων, όμως η άνοδος των ατμομηχανών και των πετρελαιοκινητήρων στα τέλη του 19</w:t>
      </w:r>
      <w:r>
        <w:rPr>
          <w:vertAlign w:val="superscript"/>
        </w:rPr>
        <w:t>ου</w:t>
      </w:r>
      <w:r>
        <w:t xml:space="preserve"> και στις αρχές του 20</w:t>
      </w:r>
      <w:r>
        <w:rPr>
          <w:vertAlign w:val="superscript"/>
        </w:rPr>
        <w:t>ού</w:t>
      </w:r>
      <w:r>
        <w:t xml:space="preserve"> αιώνα οδήγησε στη σταδιακή παρακμή των εμπορικών ιστιοφόρων </w:t>
      </w:r>
      <w:r>
        <w:fldChar w:fldCharType="begin"/>
      </w:r>
      <w:r>
        <w:instrText xml:space="preserve"> ADDIN ZOTERO_ITEM CSL_CITATION {"citationID":"gbEVpzc1","properties":{"unsorted":false,"formattedCitation":"[38]","plainCitation":"[38]","noteIndex":0},"citationItems":[{"id":118,"uris":["http://zotero.org/users/19904160/items/5CWY7Z3C"],"itemData":{"id":118,"type":"thesis","language":"English","number-of-pages":"128","publisher":"National Technical University of Athens","publisher-place":"Athens","title":"Assessing the Impact of a Wind Assisted Propulsion System on Ship Energy Efficiency","author":[{"literal":"Alexandra Zoi"}],"issued":{"date-parts":[["2025",10]]}}}],"schema":"https://github.com/citation-style-language/schema/raw/master/csl-citation.json"} </w:instrText>
      </w:r>
      <w:r>
        <w:fldChar w:fldCharType="separate"/>
      </w:r>
      <w:r>
        <w:rPr>
          <w:rFonts w:cs="Times New Roman"/>
        </w:rPr>
        <w:t>[38]</w:t>
      </w:r>
      <w:r>
        <w:fldChar w:fldCharType="end"/>
      </w:r>
      <w:r>
        <w:t xml:space="preserve">. Το πλοίο </w:t>
      </w:r>
      <w:proofErr w:type="spellStart"/>
      <w:r>
        <w:rPr>
          <w:i/>
          <w:iCs/>
        </w:rPr>
        <w:t>Buckau</w:t>
      </w:r>
      <w:proofErr w:type="spellEnd"/>
      <w:r>
        <w:t xml:space="preserve">, που αρχικά είχε κατασκευαστεί το 1920 ως βοηθητική ιστιοφόρος σκούνα, μετατράπηκε το 1925 στο πρώτο πλοίο με </w:t>
      </w:r>
      <w:proofErr w:type="spellStart"/>
      <w:r>
        <w:t>ρότορες</w:t>
      </w:r>
      <w:proofErr w:type="spellEnd"/>
      <w:r>
        <w:t xml:space="preserve"> </w:t>
      </w:r>
      <w:proofErr w:type="spellStart"/>
      <w:r>
        <w:t>Flettner</w:t>
      </w:r>
      <w:proofErr w:type="spellEnd"/>
      <w:r>
        <w:t xml:space="preserve">. Τότε διαπιστώθηκε ότι οι </w:t>
      </w:r>
      <w:proofErr w:type="spellStart"/>
      <w:r>
        <w:t>ρότορες</w:t>
      </w:r>
      <w:proofErr w:type="spellEnd"/>
      <w:r>
        <w:t xml:space="preserve"> παρήγαν μεγαλύτερη αιολική ώση από τα συμβατικά ιστία. Παρότι το </w:t>
      </w:r>
      <w:proofErr w:type="spellStart"/>
      <w:r>
        <w:rPr>
          <w:i/>
          <w:iCs/>
        </w:rPr>
        <w:t>Buckau</w:t>
      </w:r>
      <w:proofErr w:type="spellEnd"/>
      <w:r>
        <w:t xml:space="preserve"> πέρασε με επιτυχία τις απαραίτητες δοκιμές και η ιδέα κέρδισε κάποια απήχηση, η κατάρρευση των ναύλων στις αρχές της δεκαετίας του 1920 δεν ευνόησε την κατασκευή περισσότερων </w:t>
      </w:r>
      <w:r w:rsidR="002962E7">
        <w:t xml:space="preserve">τέτοιων </w:t>
      </w:r>
      <w:r>
        <w:t xml:space="preserve">πλοίων. Μόνο μετά την πετρελαϊκή κρίση της δεκαετίας του 1970 η περαιτέρω έρευνα κατέστησε δυνατή την εφαρμογή αυτών των τεχνολογιών σε μεγαλύτερα πλοία. Μεταξύ όλων των διαθέσιμων τεχνολογιών, οι </w:t>
      </w:r>
      <w:proofErr w:type="spellStart"/>
      <w:r>
        <w:t>ρότορες</w:t>
      </w:r>
      <w:proofErr w:type="spellEnd"/>
      <w:r>
        <w:t xml:space="preserve"> αυτοί θεωρούνται σήμερα από τις καλύτερες επιλογές για μετασκευές αιολικής υποβοήθησης σε όλους τους τύπους σύγχρονων πλοίων.</w:t>
      </w:r>
    </w:p>
    <w:p w14:paraId="1EA60ADF" w14:textId="77777777" w:rsidR="006760CC" w:rsidRPr="00FC204C" w:rsidRDefault="00123E6D" w:rsidP="006760CC">
      <w:pPr>
        <w:spacing w:line="360" w:lineRule="auto"/>
        <w:jc w:val="both"/>
      </w:pPr>
      <w:r>
        <w:rPr>
          <w:noProof/>
        </w:rPr>
        <w:lastRenderedPageBreak/>
        <w:drawing>
          <wp:anchor distT="0" distB="0" distL="114300" distR="114300" simplePos="0" relativeHeight="251658263" behindDoc="0" locked="0" layoutInCell="1" allowOverlap="1" wp14:anchorId="0B2EC34A" wp14:editId="68008388">
            <wp:simplePos x="0" y="0"/>
            <wp:positionH relativeFrom="margin">
              <wp:align>center</wp:align>
            </wp:positionH>
            <wp:positionV relativeFrom="paragraph">
              <wp:posOffset>13765</wp:posOffset>
            </wp:positionV>
            <wp:extent cx="3063240" cy="1722755"/>
            <wp:effectExtent l="0" t="0" r="3810" b="0"/>
            <wp:wrapSquare wrapText="bothSides"/>
            <wp:docPr id="1914285022" name="Εικόνα 11" descr="The century-old ship sail technology finally catching on - BBC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entury-old ship sail technology finally catching on - BBC New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63240" cy="172275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62FBBEC3" w14:textId="77777777" w:rsidR="00E903FA" w:rsidRPr="00406ADA" w:rsidRDefault="00E903FA" w:rsidP="00E903FA">
      <w:pPr>
        <w:spacing w:line="360" w:lineRule="auto"/>
        <w:jc w:val="both"/>
      </w:pPr>
    </w:p>
    <w:p w14:paraId="6ED2300E" w14:textId="77777777" w:rsidR="00483B62" w:rsidRPr="00483B62" w:rsidRDefault="00A73968" w:rsidP="00483B62">
      <w:pPr>
        <w:spacing w:line="360" w:lineRule="auto"/>
        <w:jc w:val="both"/>
      </w:pPr>
      <w:r>
        <w:t>.</w:t>
      </w:r>
    </w:p>
    <w:p w14:paraId="108A7489" w14:textId="77777777" w:rsidR="00B948EF" w:rsidRDefault="00B948EF" w:rsidP="00B64CBB">
      <w:pPr>
        <w:spacing w:line="360" w:lineRule="auto"/>
        <w:jc w:val="both"/>
      </w:pPr>
    </w:p>
    <w:p w14:paraId="2AA57188" w14:textId="04A229DD" w:rsidR="00B948EF" w:rsidRDefault="00B948EF" w:rsidP="00B64CBB">
      <w:pPr>
        <w:spacing w:line="360" w:lineRule="auto"/>
        <w:jc w:val="both"/>
      </w:pPr>
    </w:p>
    <w:p w14:paraId="28012601" w14:textId="5C2CA992" w:rsidR="00B67010" w:rsidRPr="00822C2D" w:rsidRDefault="00C1097F" w:rsidP="00B64CBB">
      <w:pPr>
        <w:spacing w:line="360" w:lineRule="auto"/>
        <w:jc w:val="both"/>
      </w:pPr>
      <w:r>
        <w:rPr>
          <w:noProof/>
        </w:rPr>
        <mc:AlternateContent>
          <mc:Choice Requires="wps">
            <w:drawing>
              <wp:anchor distT="0" distB="0" distL="114300" distR="114300" simplePos="0" relativeHeight="251658264" behindDoc="0" locked="0" layoutInCell="1" allowOverlap="1" wp14:anchorId="443881CE" wp14:editId="12B34559">
                <wp:simplePos x="0" y="0"/>
                <wp:positionH relativeFrom="margin">
                  <wp:posOffset>1103630</wp:posOffset>
                </wp:positionH>
                <wp:positionV relativeFrom="paragraph">
                  <wp:posOffset>5715</wp:posOffset>
                </wp:positionV>
                <wp:extent cx="3063240" cy="207645"/>
                <wp:effectExtent l="0" t="0" r="3810" b="1905"/>
                <wp:wrapSquare wrapText="bothSides"/>
                <wp:docPr id="1326897273" name="Πλαίσιο κειμένου 1"/>
                <wp:cNvGraphicFramePr/>
                <a:graphic xmlns:a="http://schemas.openxmlformats.org/drawingml/2006/main">
                  <a:graphicData uri="http://schemas.microsoft.com/office/word/2010/wordprocessingShape">
                    <wps:wsp>
                      <wps:cNvSpPr txBox="1"/>
                      <wps:spPr>
                        <a:xfrm>
                          <a:off x="0" y="0"/>
                          <a:ext cx="3063240" cy="207645"/>
                        </a:xfrm>
                        <a:prstGeom prst="rect">
                          <a:avLst/>
                        </a:prstGeom>
                        <a:solidFill>
                          <a:prstClr val="white"/>
                        </a:solidFill>
                        <a:ln>
                          <a:noFill/>
                        </a:ln>
                      </wps:spPr>
                      <wps:txbx>
                        <w:txbxContent>
                          <w:p w14:paraId="6459EF8C" w14:textId="711DF4D6" w:rsidR="00780D36" w:rsidRPr="00780D36" w:rsidRDefault="00F822A6" w:rsidP="00780D36">
                            <w:pPr>
                              <w:pStyle w:val="af2"/>
                              <w:jc w:val="center"/>
                              <w:rPr>
                                <w:b/>
                                <w:bCs/>
                                <w:noProof/>
                              </w:rPr>
                            </w:pPr>
                            <w:bookmarkStart w:id="87" w:name="_Toc243077690"/>
                            <w:bookmarkStart w:id="88" w:name="_Toc243355378"/>
                            <w:r>
                              <w:rPr>
                                <w:b/>
                                <w:bCs/>
                              </w:rPr>
                              <w:t>Εικόνα</w:t>
                            </w:r>
                            <w:r w:rsidR="00780D36">
                              <w:rPr>
                                <w:b/>
                                <w:bCs/>
                              </w:rPr>
                              <w:t xml:space="preserve"> </w:t>
                            </w:r>
                            <w:r w:rsidR="00780D36">
                              <w:rPr>
                                <w:b/>
                                <w:bCs/>
                              </w:rPr>
                              <w:fldChar w:fldCharType="begin"/>
                            </w:r>
                            <w:r w:rsidR="00780D36">
                              <w:rPr>
                                <w:b/>
                                <w:bCs/>
                              </w:rPr>
                              <w:instrText xml:space="preserve"> SEQ Figure \* ARABIC </w:instrText>
                            </w:r>
                            <w:r w:rsidR="00780D36">
                              <w:rPr>
                                <w:b/>
                                <w:bCs/>
                              </w:rPr>
                              <w:fldChar w:fldCharType="separate"/>
                            </w:r>
                            <w:r w:rsidR="00B0043E">
                              <w:rPr>
                                <w:b/>
                                <w:bCs/>
                                <w:noProof/>
                              </w:rPr>
                              <w:t>13</w:t>
                            </w:r>
                            <w:r w:rsidR="00780D36">
                              <w:rPr>
                                <w:b/>
                                <w:bCs/>
                              </w:rPr>
                              <w:fldChar w:fldCharType="end"/>
                            </w:r>
                            <w:r w:rsidR="00780D36">
                              <w:rPr>
                                <w:b/>
                                <w:bCs/>
                              </w:rPr>
                              <w:t>: Το Buckau, το πρώτο πλοίο με ρότορες Flettner</w:t>
                            </w:r>
                            <w:bookmarkEnd w:id="87"/>
                            <w:bookmarkEnd w:id="8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3881CE" id="_x0000_s1036" type="#_x0000_t202" style="position:absolute;left:0;text-align:left;margin-left:86.9pt;margin-top:.45pt;width:241.2pt;height:16.35pt;z-index:251658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" stroked="f">
                <v:textbox inset="0,0,0,0">
                  <w:txbxContent>
                    <w:p w14:paraId="6459EF8C" w14:textId="711DF4D6" w:rsidR="00780D36" w:rsidRPr="00780D36" w:rsidRDefault="00F822A6" w:rsidP="00780D36">
                      <w:pPr>
                        <w:pStyle w:val="af2"/>
                        <w:jc w:val="center"/>
                        <w:rPr>
                          <w:b/>
                          <w:bCs/>
                          <w:noProof/>
                        </w:rPr>
                      </w:pPr>
                      <w:bookmarkStart w:id="89" w:name="_Toc243077690"/>
                      <w:bookmarkStart w:id="90" w:name="_Toc243355378"/>
                      <w:r>
                        <w:rPr>
                          <w:b/>
                          <w:bCs/>
                        </w:rPr>
                        <w:t>Εικόνα</w:t>
                      </w:r>
                      <w:r w:rsidR="00780D36">
                        <w:rPr>
                          <w:b/>
                          <w:bCs/>
                        </w:rPr>
                        <w:t xml:space="preserve"> </w:t>
                      </w:r>
                      <w:r w:rsidR="00780D36">
                        <w:rPr>
                          <w:b/>
                          <w:bCs/>
                        </w:rPr>
                        <w:fldChar w:fldCharType="begin"/>
                      </w:r>
                      <w:r w:rsidR="00780D36">
                        <w:rPr>
                          <w:b/>
                          <w:bCs/>
                        </w:rPr>
                        <w:instrText xml:space="preserve"> SEQ Figure \* ARABIC </w:instrText>
                      </w:r>
                      <w:r w:rsidR="00780D36">
                        <w:rPr>
                          <w:b/>
                          <w:bCs/>
                        </w:rPr>
                        <w:fldChar w:fldCharType="separate"/>
                      </w:r>
                      <w:r w:rsidR="00B0043E">
                        <w:rPr>
                          <w:b/>
                          <w:bCs/>
                          <w:noProof/>
                        </w:rPr>
                        <w:t>13</w:t>
                      </w:r>
                      <w:r w:rsidR="00780D36">
                        <w:rPr>
                          <w:b/>
                          <w:bCs/>
                        </w:rPr>
                        <w:fldChar w:fldCharType="end"/>
                      </w:r>
                      <w:r w:rsidR="00780D36">
                        <w:rPr>
                          <w:b/>
                          <w:bCs/>
                        </w:rPr>
                        <w:t>: Το Buckau, το πρώτο πλοίο με ρότορες Flettner</w:t>
                      </w:r>
                      <w:bookmarkEnd w:id="89"/>
                      <w:bookmarkEnd w:id="90"/>
                    </w:p>
                  </w:txbxContent>
                </v:textbox>
                <w10:wrap type="square" anchorx="margin"/>
              </v:shape>
            </w:pict>
          </mc:Fallback>
        </mc:AlternateContent>
      </w:r>
    </w:p>
    <w:p w14:paraId="4F1BC5A9" w14:textId="77777777" w:rsidR="00F82291" w:rsidRDefault="00F82291" w:rsidP="005652FE">
      <w:pPr>
        <w:pStyle w:val="20"/>
      </w:pPr>
      <w:bookmarkStart w:id="91" w:name="_Toc243355282"/>
      <w:r>
        <w:t>Τύποι WAPS</w:t>
      </w:r>
      <w:bookmarkEnd w:id="91"/>
    </w:p>
    <w:p w14:paraId="777AC14D" w14:textId="77777777" w:rsidR="00F82291" w:rsidRDefault="0040724A" w:rsidP="005652FE">
      <w:pPr>
        <w:pStyle w:val="30"/>
      </w:pPr>
      <w:bookmarkStart w:id="92" w:name="_Toc243355283"/>
      <w:r>
        <w:t>Ιστία-</w:t>
      </w:r>
      <w:proofErr w:type="spellStart"/>
      <w:r>
        <w:t>ρότορες</w:t>
      </w:r>
      <w:proofErr w:type="spellEnd"/>
      <w:r>
        <w:t xml:space="preserve"> (</w:t>
      </w:r>
      <w:proofErr w:type="spellStart"/>
      <w:r>
        <w:t>rotor</w:t>
      </w:r>
      <w:proofErr w:type="spellEnd"/>
      <w:r>
        <w:t xml:space="preserve"> </w:t>
      </w:r>
      <w:proofErr w:type="spellStart"/>
      <w:r>
        <w:t>sails</w:t>
      </w:r>
      <w:proofErr w:type="spellEnd"/>
      <w:r>
        <w:t>)</w:t>
      </w:r>
      <w:bookmarkEnd w:id="92"/>
    </w:p>
    <w:p w14:paraId="3B56B02B" w14:textId="74A6247B" w:rsidR="007E68CD" w:rsidRDefault="007E68CD" w:rsidP="005C125E">
      <w:pPr>
        <w:spacing w:before="100" w:beforeAutospacing="1" w:after="100" w:afterAutospacing="1" w:line="360" w:lineRule="auto"/>
        <w:ind w:firstLine="576"/>
        <w:jc w:val="both"/>
        <w:rPr>
          <w:rFonts w:eastAsia="Times New Roman" w:cs="Times New Roman"/>
          <w:kern w:val="0"/>
          <w14:ligatures w14:val="none"/>
        </w:rPr>
      </w:pPr>
      <w:r>
        <w:rPr>
          <w:rFonts w:eastAsia="Times New Roman" w:cs="Times New Roman"/>
          <w:kern w:val="0"/>
          <w14:ligatures w14:val="none"/>
        </w:rPr>
        <w:t>Τα ιστία-</w:t>
      </w:r>
      <w:proofErr w:type="spellStart"/>
      <w:r>
        <w:rPr>
          <w:rFonts w:eastAsia="Times New Roman" w:cs="Times New Roman"/>
          <w:kern w:val="0"/>
          <w14:ligatures w14:val="none"/>
        </w:rPr>
        <w:t>ρότορες</w:t>
      </w:r>
      <w:proofErr w:type="spellEnd"/>
      <w:r>
        <w:rPr>
          <w:rFonts w:eastAsia="Times New Roman" w:cs="Times New Roman"/>
          <w:kern w:val="0"/>
          <w14:ligatures w14:val="none"/>
        </w:rPr>
        <w:t xml:space="preserve"> (</w:t>
      </w:r>
      <w:proofErr w:type="spellStart"/>
      <w:r>
        <w:rPr>
          <w:rFonts w:eastAsia="Times New Roman" w:cs="Times New Roman"/>
          <w:kern w:val="0"/>
          <w14:ligatures w14:val="none"/>
        </w:rPr>
        <w:t>rotor</w:t>
      </w:r>
      <w:proofErr w:type="spellEnd"/>
      <w:r>
        <w:rPr>
          <w:rFonts w:eastAsia="Times New Roman" w:cs="Times New Roman"/>
          <w:kern w:val="0"/>
          <w14:ligatures w14:val="none"/>
        </w:rPr>
        <w:t xml:space="preserve"> </w:t>
      </w:r>
      <w:proofErr w:type="spellStart"/>
      <w:r>
        <w:rPr>
          <w:rFonts w:eastAsia="Times New Roman" w:cs="Times New Roman"/>
          <w:kern w:val="0"/>
          <w14:ligatures w14:val="none"/>
        </w:rPr>
        <w:t>sails</w:t>
      </w:r>
      <w:proofErr w:type="spellEnd"/>
      <w:r>
        <w:rPr>
          <w:rFonts w:eastAsia="Times New Roman" w:cs="Times New Roman"/>
          <w:kern w:val="0"/>
          <w14:ligatures w14:val="none"/>
        </w:rPr>
        <w:t xml:space="preserve">), γνωστά και ως </w:t>
      </w:r>
      <w:proofErr w:type="spellStart"/>
      <w:r>
        <w:rPr>
          <w:rFonts w:eastAsia="Times New Roman" w:cs="Times New Roman"/>
          <w:kern w:val="0"/>
          <w14:ligatures w14:val="none"/>
        </w:rPr>
        <w:t>ρότορες</w:t>
      </w:r>
      <w:proofErr w:type="spellEnd"/>
      <w:r>
        <w:rPr>
          <w:rFonts w:eastAsia="Times New Roman" w:cs="Times New Roman"/>
          <w:kern w:val="0"/>
          <w14:ligatures w14:val="none"/>
        </w:rPr>
        <w:t xml:space="preserve"> </w:t>
      </w:r>
      <w:proofErr w:type="spellStart"/>
      <w:r>
        <w:rPr>
          <w:rFonts w:eastAsia="Times New Roman" w:cs="Times New Roman"/>
          <w:kern w:val="0"/>
          <w14:ligatures w14:val="none"/>
        </w:rPr>
        <w:t>Flettner</w:t>
      </w:r>
      <w:proofErr w:type="spellEnd"/>
      <w:r>
        <w:rPr>
          <w:rFonts w:eastAsia="Times New Roman" w:cs="Times New Roman"/>
          <w:kern w:val="0"/>
          <w14:ligatures w14:val="none"/>
        </w:rPr>
        <w:t xml:space="preserve">, αξιοποιούν το φαινόμενο </w:t>
      </w:r>
      <w:proofErr w:type="spellStart"/>
      <w:r>
        <w:rPr>
          <w:rFonts w:eastAsia="Times New Roman" w:cs="Times New Roman"/>
          <w:kern w:val="0"/>
          <w14:ligatures w14:val="none"/>
        </w:rPr>
        <w:t>Magnus</w:t>
      </w:r>
      <w:proofErr w:type="spellEnd"/>
      <w:r>
        <w:rPr>
          <w:rFonts w:eastAsia="Times New Roman" w:cs="Times New Roman"/>
          <w:kern w:val="0"/>
          <w14:ligatures w14:val="none"/>
        </w:rPr>
        <w:t xml:space="preserve"> για να παράγουν αεροδυναμική </w:t>
      </w:r>
      <w:proofErr w:type="spellStart"/>
      <w:r>
        <w:rPr>
          <w:rFonts w:eastAsia="Times New Roman" w:cs="Times New Roman"/>
          <w:kern w:val="0"/>
          <w14:ligatures w14:val="none"/>
        </w:rPr>
        <w:t>άντωση</w:t>
      </w:r>
      <w:proofErr w:type="spellEnd"/>
      <w:r>
        <w:rPr>
          <w:rFonts w:eastAsia="Times New Roman" w:cs="Times New Roman"/>
          <w:kern w:val="0"/>
          <w14:ligatures w14:val="none"/>
        </w:rPr>
        <w:t xml:space="preserve"> μέσω της περιστροφής μιας κυλινδρικής κατασκευής, δημιουργώντας διαφορά πίεσης που παράγει πρόσθετη ώση για την πρόωση του πλοίου </w:t>
      </w:r>
      <w:r>
        <w:rPr>
          <w:rFonts w:eastAsia="Times New Roman" w:cs="Times New Roman"/>
          <w:kern w:val="0"/>
          <w14:ligatures w14:val="none"/>
        </w:rPr>
        <w:fldChar w:fldCharType="begin"/>
      </w:r>
      <w:r>
        <w:rPr>
          <w:rFonts w:eastAsia="Times New Roman" w:cs="Times New Roman"/>
          <w:kern w:val="0"/>
          <w14:ligatures w14:val="none"/>
        </w:rPr>
        <w:instrText xml:space="preserve"> ADDIN ZOTERO_ITEM CSL_CITATION {"citationID":"MfB3oviQ","properties":{"unsorted":false,"formattedCitation":"[39]","plainCitation":"[39]","noteIndex":0},"citationItems":[{"id":123,"uris":["http://zotero.org/users/19904160/items/MNYDWSPW"],"itemData":{"id":123,"type":"article-journal","abstract":"Rotor sails, sails that cause lift using rotational speed, utilize the Magnus Effect to create large-scale vessel propulsion. This cylindrical sail creates a pressure difference by manipulating the fluid around it through friction. These rotor sails can effectively create large amounts of lift from wind speeds that attack the sail at a range of angles and require very little fuel consumption to generate power. These rotor sails are inexpensive to install and maintain compared to other large-vessel propulsion methods. This is a fuel-efficient and very applicable method for many vessels, and can be utilized on virtually any route.","source":"ResearchGate","title":"Analyzing the Kinematics of Rotor Sails","author":[{"family":"Glatz","given":"Tony"}],"issued":{"date-parts":[["2021",1,13]]}}}],"schema":"https://github.com/citation-style-language/schema/raw/master/csl-citation.json"} </w:instrText>
      </w:r>
      <w:r>
        <w:rPr>
          <w:rFonts w:eastAsia="Times New Roman" w:cs="Times New Roman"/>
          <w:kern w:val="0"/>
          <w14:ligatures w14:val="none"/>
        </w:rPr>
        <w:fldChar w:fldCharType="separate"/>
      </w:r>
      <w:r>
        <w:rPr>
          <w:rFonts w:cs="Times New Roman"/>
        </w:rPr>
        <w:t>[39]</w:t>
      </w:r>
      <w:r>
        <w:rPr>
          <w:rFonts w:eastAsia="Times New Roman" w:cs="Times New Roman"/>
          <w:kern w:val="0"/>
          <w14:ligatures w14:val="none"/>
        </w:rPr>
        <w:fldChar w:fldCharType="end"/>
      </w:r>
      <w:r>
        <w:rPr>
          <w:rFonts w:eastAsia="Times New Roman" w:cs="Times New Roman"/>
          <w:kern w:val="0"/>
          <w14:ligatures w14:val="none"/>
        </w:rPr>
        <w:t xml:space="preserve">. Αν και κινούνται από ηλεκτροκινητήρες, η κατανάλωση ενέργειάς τους είναι σχετικά μικρή σε σύγκριση με την παραγόμενη ισχύ πρόωσης, γεγονός που τα καθιστά αποδοτική τεχνολογία αιολικής υποβοήθησης της πρόωσης. Η επίδοσή τους εξαρτάται κυρίως από την ταχύτητα και τη διεύθυνση του φαινόμενου ανέμου, τις διαστάσεις του </w:t>
      </w:r>
      <w:proofErr w:type="spellStart"/>
      <w:r>
        <w:rPr>
          <w:rFonts w:eastAsia="Times New Roman" w:cs="Times New Roman"/>
          <w:kern w:val="0"/>
          <w14:ligatures w14:val="none"/>
        </w:rPr>
        <w:t>ρότορα</w:t>
      </w:r>
      <w:proofErr w:type="spellEnd"/>
      <w:r>
        <w:rPr>
          <w:rFonts w:eastAsia="Times New Roman" w:cs="Times New Roman"/>
          <w:kern w:val="0"/>
          <w14:ligatures w14:val="none"/>
        </w:rPr>
        <w:t>, την ταχύτητα περιστροφής, την ταχύτητα του πλοίου και τη διαδρομή λειτουργίας· η υψηλότερη απόδοση επιτυγχάνεται γενικά με πλευρικό</w:t>
      </w:r>
      <w:r w:rsidR="005C125E">
        <w:rPr>
          <w:rFonts w:eastAsia="Times New Roman" w:cs="Times New Roman"/>
          <w:kern w:val="0"/>
          <w14:ligatures w14:val="none"/>
        </w:rPr>
        <w:t xml:space="preserve"> </w:t>
      </w:r>
      <w:r>
        <w:rPr>
          <w:rFonts w:eastAsia="Times New Roman" w:cs="Times New Roman"/>
          <w:kern w:val="0"/>
          <w14:ligatures w14:val="none"/>
        </w:rPr>
        <w:t xml:space="preserve">άνεμο, ενώ η επίδοση μειώνεται </w:t>
      </w:r>
      <w:r w:rsidR="005C125E">
        <w:rPr>
          <w:rFonts w:eastAsia="Times New Roman" w:cs="Times New Roman"/>
          <w:kern w:val="0"/>
          <w14:ligatures w14:val="none"/>
        </w:rPr>
        <w:t xml:space="preserve">όταν το πλοίο πλέει με </w:t>
      </w:r>
      <w:r>
        <w:rPr>
          <w:rFonts w:eastAsia="Times New Roman" w:cs="Times New Roman"/>
          <w:kern w:val="0"/>
          <w14:ligatures w14:val="none"/>
        </w:rPr>
        <w:t xml:space="preserve">αντίθετους ανέμους </w:t>
      </w:r>
      <w:r>
        <w:rPr>
          <w:rFonts w:eastAsia="Times New Roman" w:cs="Times New Roman"/>
          <w:kern w:val="0"/>
          <w14:ligatures w14:val="none"/>
        </w:rPr>
        <w:fldChar w:fldCharType="begin"/>
      </w:r>
      <w:r>
        <w:rPr>
          <w:rFonts w:eastAsia="Times New Roman" w:cs="Times New Roman"/>
          <w:kern w:val="0"/>
          <w14:ligatures w14:val="none"/>
        </w:rPr>
        <w:instrText xml:space="preserve"> ADDIN ZOTERO_ITEM CSL_CITATION {"citationID":"vOfK4zxE","properties":{"unsorted":false,"formattedCitation":"[39], [40]","plainCitation":"[39], [40]","noteIndex":0},"citationItems":[{"id":123,"uris":["http://zotero.org/users/19904160/items/MNYDWSPW"],"itemData":{"id":123,"type":"article-journal","abstract":"Rotor sails, sails that cause lift using rotational speed, utilize the Magnus Effect to create large-scale vessel propulsion. This cylindrical sail creates a pressure difference by manipulating the fluid around it through friction. These rotor sails can effectively create large amounts of lift from wind speeds that attack the sail at a range of angles and require very little fuel consumption to generate power. These rotor sails are inexpensive to install and maintain compared to other large-vessel propulsion methods. This is a fuel-efficient and very applicable method for many vessels, and can be utilized on virtually any route.","source":"ResearchGate","title":"Analyzing the Kinematics of Rotor Sails","author":[{"family":"Glatz","given":"Tony"}],"issued":{"date-parts":[["2021",1,13]]}}},{"id":125,"uris":["http://zotero.org/users/19904160/items/KCSBP7F6"],"itemData":{"id":125,"type":"article-journal","abstract":"The maritime sector is under pressure to increase ship energy efficiency and reduce greenhouse gas (GHG) emissions as a part of global decarbonization goals. Various innovative technologies are being adopted in recent years, raising concerns not only about technological feasibility but also about the economic viability of such technologies in the context of sustainable maritime practices. This study evaluates the operational performance, potential to increase energy efficiency, and economic feasibility of wind-assisted propulsion technologies such as rotor sails across different vessel types and operational profiles. As a contribution to cleaner and more efficient shipping, energy savings produced by rotor thrust were analyzed in relation to vessel dimensions and rotor configuration. The results derived from publicly available industry data including shipowner reports, manufacturer case studies, and classification society publications on 25 confirmed rotor sail installations between 2010 and 2025 indicate that savings typically range between 4% and 15%, with isolated cases reporting up to 25%. A simulation model was developed to assess payback time based on varying fuel consumption, investment cost, CO2 pricing, and operational parameters. Monte Carlo analysis confirmed that under typical assumptions rotor sail investments can reach payback in three to six years (as the ship is also liable for CO2 payments). These findings offer practical guidance for shipowners and operators evaluating wind-assisted propulsion under current and emerging environmental regulations and contribute to advancing sustainability in maritime transport. The research contributes to bridging the gap between simulation-based and real-world performance evaluations of rotor sail technologies.","container-title":"Sustainability","DOI":"10.3390/su17135909","ISSN":"2071-1050","issue":"13","language":"en","license":"http://creativecommons.org/licenses/by/3.0/","page":"5909","publisher":"Multidisciplinary Digital Publishing Institute","source":"www.mdpi.com","title":"Economic Feasibility and Operational Performance of Rotor Sails in Maritime Transport","volume":"17","author":[{"family":"Carjova","given":"Kristine"},{"family":"Hilmola","given":"Olli-Pekka"},{"family":"Tapaninen","given":"Ulla"}],"issued":{"date-parts":[["2025",1]]}}}],"schema":"https://github.com/citation-style-language/schema/raw/master/csl-citation.json"} </w:instrText>
      </w:r>
      <w:r>
        <w:rPr>
          <w:rFonts w:eastAsia="Times New Roman" w:cs="Times New Roman"/>
          <w:kern w:val="0"/>
          <w14:ligatures w14:val="none"/>
        </w:rPr>
        <w:fldChar w:fldCharType="separate"/>
      </w:r>
      <w:r>
        <w:rPr>
          <w:rFonts w:cs="Times New Roman"/>
        </w:rPr>
        <w:t>[39], [40]</w:t>
      </w:r>
      <w:r>
        <w:rPr>
          <w:rFonts w:eastAsia="Times New Roman" w:cs="Times New Roman"/>
          <w:kern w:val="0"/>
          <w14:ligatures w14:val="none"/>
        </w:rPr>
        <w:fldChar w:fldCharType="end"/>
      </w:r>
      <w:r>
        <w:rPr>
          <w:rFonts w:eastAsia="Times New Roman" w:cs="Times New Roman"/>
          <w:kern w:val="0"/>
          <w14:ligatures w14:val="none"/>
        </w:rPr>
        <w:t>. Τα ιστία-</w:t>
      </w:r>
      <w:proofErr w:type="spellStart"/>
      <w:r>
        <w:rPr>
          <w:rFonts w:eastAsia="Times New Roman" w:cs="Times New Roman"/>
          <w:kern w:val="0"/>
          <w14:ligatures w14:val="none"/>
        </w:rPr>
        <w:t>ρότορες</w:t>
      </w:r>
      <w:proofErr w:type="spellEnd"/>
      <w:r>
        <w:rPr>
          <w:rFonts w:eastAsia="Times New Roman" w:cs="Times New Roman"/>
          <w:kern w:val="0"/>
          <w14:ligatures w14:val="none"/>
        </w:rPr>
        <w:t xml:space="preserve"> είναι ιδιαίτερα κατάλληλα για φορτηγά πλοία μεταφοράς χύδην ξηρού φορτίου, δεξαμενόπλοια και πλοία γενικού φορτίου, λόγω του διαθέσιμου χώρου στο κατάστρωμα και των λειτουργικών τους προφίλ, ενώ οι εφαρμογές σε πλοία μεταφοράς εμπορευματοκιβωτίων και πλοία </w:t>
      </w:r>
      <w:proofErr w:type="spellStart"/>
      <w:r>
        <w:rPr>
          <w:rFonts w:eastAsia="Times New Roman" w:cs="Times New Roman"/>
          <w:kern w:val="0"/>
          <w14:ligatures w14:val="none"/>
        </w:rPr>
        <w:t>RoRo</w:t>
      </w:r>
      <w:proofErr w:type="spellEnd"/>
      <w:r>
        <w:rPr>
          <w:rFonts w:eastAsia="Times New Roman" w:cs="Times New Roman"/>
          <w:kern w:val="0"/>
          <w14:ligatures w14:val="none"/>
        </w:rPr>
        <w:t xml:space="preserve"> περιορίζονται συχνά από τη διάταξη του φορτίου και από περιορισμούς ύψους πάνω από την ίσαλο (</w:t>
      </w:r>
      <w:proofErr w:type="spellStart"/>
      <w:r>
        <w:rPr>
          <w:rFonts w:eastAsia="Times New Roman" w:cs="Times New Roman"/>
          <w:kern w:val="0"/>
          <w14:ligatures w14:val="none"/>
        </w:rPr>
        <w:t>air</w:t>
      </w:r>
      <w:proofErr w:type="spellEnd"/>
      <w:r>
        <w:rPr>
          <w:rFonts w:eastAsia="Times New Roman" w:cs="Times New Roman"/>
          <w:kern w:val="0"/>
          <w14:ligatures w14:val="none"/>
        </w:rPr>
        <w:t xml:space="preserve"> </w:t>
      </w:r>
      <w:proofErr w:type="spellStart"/>
      <w:r>
        <w:rPr>
          <w:rFonts w:eastAsia="Times New Roman" w:cs="Times New Roman"/>
          <w:kern w:val="0"/>
          <w14:ligatures w14:val="none"/>
        </w:rPr>
        <w:t>draft</w:t>
      </w:r>
      <w:proofErr w:type="spellEnd"/>
      <w:r>
        <w:rPr>
          <w:rFonts w:eastAsia="Times New Roman" w:cs="Times New Roman"/>
          <w:kern w:val="0"/>
          <w14:ligatures w14:val="none"/>
        </w:rPr>
        <w:t xml:space="preserve">) </w:t>
      </w:r>
      <w:r>
        <w:rPr>
          <w:rFonts w:eastAsia="Times New Roman" w:cs="Times New Roman"/>
          <w:kern w:val="0"/>
          <w14:ligatures w14:val="none"/>
        </w:rPr>
        <w:fldChar w:fldCharType="begin"/>
      </w:r>
      <w:r>
        <w:rPr>
          <w:rFonts w:eastAsia="Times New Roman" w:cs="Times New Roman"/>
          <w:kern w:val="0"/>
          <w14:ligatures w14:val="none"/>
        </w:rPr>
        <w:instrText xml:space="preserve"> ADDIN ZOTERO_ITEM CSL_CITATION {"citationID":"tTFvqLhI","properties":{"unsorted":false,"formattedCitation":"[39]","plainCitation":"[39]","noteIndex":0},"citationItems":[{"id":123,"uris":["http://zotero.org/users/19904160/items/MNYDWSPW"],"itemData":{"id":123,"type":"article-journal","abstract":"Rotor sails, sails that cause lift using rotational speed, utilize the Magnus Effect to create large-scale vessel propulsion. This cylindrical sail creates a pressure difference by manipulating the fluid around it through friction. These rotor sails can effectively create large amounts of lift from wind speeds that attack the sail at a range of angles and require very little fuel consumption to generate power. These rotor sails are inexpensive to install and maintain compared to other large-vessel propulsion methods. This is a fuel-efficient and very applicable method for many vessels, and can be utilized on virtually any route.","source":"ResearchGate","title":"Analyzing the Kinematics of Rotor Sails","author":[{"family":"Glatz","given":"Tony"}],"issued":{"date-parts":[["2021",1,13]]}}}],"schema":"https://github.com/citation-style-language/schema/raw/master/csl-citation.json"} </w:instrText>
      </w:r>
      <w:r>
        <w:rPr>
          <w:rFonts w:eastAsia="Times New Roman" w:cs="Times New Roman"/>
          <w:kern w:val="0"/>
          <w14:ligatures w14:val="none"/>
        </w:rPr>
        <w:fldChar w:fldCharType="separate"/>
      </w:r>
      <w:r>
        <w:rPr>
          <w:rFonts w:cs="Times New Roman"/>
        </w:rPr>
        <w:t>[39]</w:t>
      </w:r>
      <w:r>
        <w:rPr>
          <w:rFonts w:eastAsia="Times New Roman" w:cs="Times New Roman"/>
          <w:kern w:val="0"/>
          <w14:ligatures w14:val="none"/>
        </w:rPr>
        <w:fldChar w:fldCharType="end"/>
      </w:r>
      <w:r>
        <w:rPr>
          <w:rFonts w:eastAsia="Times New Roman" w:cs="Times New Roman"/>
          <w:kern w:val="0"/>
          <w14:ligatures w14:val="none"/>
        </w:rPr>
        <w:t>. Από τις αρχές της δεκαετίας του 2010, η τεχνολογία των ιστίων</w:t>
      </w:r>
      <w:r w:rsidR="00A3254C">
        <w:rPr>
          <w:rFonts w:eastAsia="Times New Roman" w:cs="Times New Roman"/>
          <w:kern w:val="0"/>
          <w14:ligatures w14:val="none"/>
        </w:rPr>
        <w:t xml:space="preserve"> αυτών</w:t>
      </w:r>
      <w:r>
        <w:rPr>
          <w:rFonts w:eastAsia="Times New Roman" w:cs="Times New Roman"/>
          <w:kern w:val="0"/>
          <w14:ligatures w14:val="none"/>
        </w:rPr>
        <w:t xml:space="preserve"> έχει εξελιχθεί σημαντικά</w:t>
      </w:r>
      <w:r w:rsidR="00B31A58">
        <w:rPr>
          <w:rFonts w:eastAsia="Times New Roman" w:cs="Times New Roman"/>
          <w:kern w:val="0"/>
          <w14:ligatures w14:val="none"/>
        </w:rPr>
        <w:t xml:space="preserve"> και καθίσταται </w:t>
      </w:r>
      <w:r>
        <w:rPr>
          <w:rFonts w:eastAsia="Times New Roman" w:cs="Times New Roman"/>
          <w:kern w:val="0"/>
          <w14:ligatures w14:val="none"/>
        </w:rPr>
        <w:t xml:space="preserve">αποδοτικότερη, </w:t>
      </w:r>
      <w:proofErr w:type="spellStart"/>
      <w:r>
        <w:rPr>
          <w:rFonts w:eastAsia="Times New Roman" w:cs="Times New Roman"/>
          <w:kern w:val="0"/>
          <w14:ligatures w14:val="none"/>
        </w:rPr>
        <w:t>κλιμακώσιμη</w:t>
      </w:r>
      <w:proofErr w:type="spellEnd"/>
      <w:r>
        <w:rPr>
          <w:rFonts w:eastAsia="Times New Roman" w:cs="Times New Roman"/>
          <w:kern w:val="0"/>
          <w14:ligatures w14:val="none"/>
        </w:rPr>
        <w:t xml:space="preserve"> και συμβατή με τα σύγχρονα συστήματα πρόωσης.</w:t>
      </w:r>
      <w:r w:rsidR="00BA4931">
        <w:rPr>
          <w:rFonts w:eastAsia="Times New Roman" w:cs="Times New Roman"/>
          <w:kern w:val="0"/>
          <w14:ligatures w14:val="none"/>
        </w:rPr>
        <w:t xml:space="preserve"> Μετά από ορισμένες</w:t>
      </w:r>
      <w:r>
        <w:rPr>
          <w:rFonts w:eastAsia="Times New Roman" w:cs="Times New Roman"/>
          <w:kern w:val="0"/>
          <w14:ligatures w14:val="none"/>
        </w:rPr>
        <w:t xml:space="preserve"> εμπορικές εγκαταστάσεις</w:t>
      </w:r>
      <w:r w:rsidR="00BA4931">
        <w:rPr>
          <w:rFonts w:eastAsia="Times New Roman" w:cs="Times New Roman"/>
          <w:kern w:val="0"/>
          <w14:ligatures w14:val="none"/>
        </w:rPr>
        <w:t xml:space="preserve"> της τεχνολογίας </w:t>
      </w:r>
      <w:r w:rsidR="006B5A51">
        <w:rPr>
          <w:rFonts w:eastAsia="Times New Roman" w:cs="Times New Roman"/>
          <w:kern w:val="0"/>
          <w14:ligatures w14:val="none"/>
        </w:rPr>
        <w:t>αυτής,</w:t>
      </w:r>
      <w:r>
        <w:rPr>
          <w:rFonts w:eastAsia="Times New Roman" w:cs="Times New Roman"/>
          <w:kern w:val="0"/>
          <w14:ligatures w14:val="none"/>
        </w:rPr>
        <w:t xml:space="preserve"> έχει αναφερθεί εξοικονόμηση καυσίμου που κυμαίνεται συνήθως από 4% έως 15%, με τιμές έως και 25% υπό ευνοϊκές συνθήκες λειτουργίας </w:t>
      </w:r>
      <w:r>
        <w:rPr>
          <w:rFonts w:eastAsia="Times New Roman" w:cs="Times New Roman"/>
          <w:kern w:val="0"/>
          <w14:ligatures w14:val="none"/>
        </w:rPr>
        <w:fldChar w:fldCharType="begin"/>
      </w:r>
      <w:r>
        <w:rPr>
          <w:rFonts w:eastAsia="Times New Roman" w:cs="Times New Roman"/>
          <w:kern w:val="0"/>
          <w14:ligatures w14:val="none"/>
        </w:rPr>
        <w:instrText xml:space="preserve"> ADDIN ZOTERO_ITEM CSL_CITATION {"citationID":"wECmUpE6","properties":{"unsorted":false,"formattedCitation":"[39]","plainCitation":"[39]","noteIndex":0},"citationItems":[{"id":123,"uris":["http://zotero.org/users/19904160/items/MNYDWSPW"],"itemData":{"id":123,"type":"article-journal","abstract":"Rotor sails, sails that cause lift using rotational speed, utilize the Magnus Effect to create large-scale vessel propulsion. This cylindrical sail creates a pressure difference by manipulating the fluid around it through friction. These rotor sails can effectively create large amounts of lift from wind speeds that attack the sail at a range of angles and require very little fuel consumption to generate power. These rotor sails are inexpensive to install and maintain compared to other large-vessel propulsion methods. This is a fuel-efficient and very applicable method for many vessels, and can be utilized on virtually any route.","source":"ResearchGate","title":"Analyzing the Kinematics of Rotor Sails","author":[{"family":"Glatz","given":"Tony"}],"issued":{"date-parts":[["2021",1,13]]}}}],"schema":"https://github.com/citation-style-language/schema/raw/master/csl-citation.json"} </w:instrText>
      </w:r>
      <w:r>
        <w:rPr>
          <w:rFonts w:eastAsia="Times New Roman" w:cs="Times New Roman"/>
          <w:kern w:val="0"/>
          <w14:ligatures w14:val="none"/>
        </w:rPr>
        <w:fldChar w:fldCharType="separate"/>
      </w:r>
      <w:r>
        <w:rPr>
          <w:rFonts w:cs="Times New Roman"/>
        </w:rPr>
        <w:t>[39]</w:t>
      </w:r>
      <w:r>
        <w:rPr>
          <w:rFonts w:eastAsia="Times New Roman" w:cs="Times New Roman"/>
          <w:kern w:val="0"/>
          <w14:ligatures w14:val="none"/>
        </w:rPr>
        <w:fldChar w:fldCharType="end"/>
      </w:r>
      <w:r>
        <w:rPr>
          <w:rFonts w:eastAsia="Times New Roman" w:cs="Times New Roman"/>
          <w:kern w:val="0"/>
          <w14:ligatures w14:val="none"/>
        </w:rPr>
        <w:t>. Ωστόσο, η συνολική τους αποτελεσματικότητα εξαρτάται από τα χαρακτηριστικά του πλοίου, τη</w:t>
      </w:r>
      <w:r w:rsidR="006B5A51">
        <w:rPr>
          <w:rFonts w:eastAsia="Times New Roman" w:cs="Times New Roman"/>
          <w:kern w:val="0"/>
          <w14:ligatures w14:val="none"/>
        </w:rPr>
        <w:t xml:space="preserve">ν </w:t>
      </w:r>
      <w:proofErr w:type="spellStart"/>
      <w:r w:rsidR="006B5A51">
        <w:rPr>
          <w:rFonts w:eastAsia="Times New Roman" w:cs="Times New Roman"/>
          <w:kern w:val="0"/>
          <w14:ligatures w14:val="none"/>
        </w:rPr>
        <w:t>ύπραξη</w:t>
      </w:r>
      <w:proofErr w:type="spellEnd"/>
      <w:r>
        <w:rPr>
          <w:rFonts w:eastAsia="Times New Roman" w:cs="Times New Roman"/>
          <w:kern w:val="0"/>
          <w14:ligatures w14:val="none"/>
        </w:rPr>
        <w:t xml:space="preserve"> ανέμου, τη διάταξη των </w:t>
      </w:r>
      <w:proofErr w:type="spellStart"/>
      <w:r>
        <w:rPr>
          <w:rFonts w:eastAsia="Times New Roman" w:cs="Times New Roman"/>
          <w:kern w:val="0"/>
          <w14:ligatures w14:val="none"/>
        </w:rPr>
        <w:t>ροτόρων</w:t>
      </w:r>
      <w:proofErr w:type="spellEnd"/>
      <w:r>
        <w:rPr>
          <w:rFonts w:eastAsia="Times New Roman" w:cs="Times New Roman"/>
          <w:kern w:val="0"/>
          <w14:ligatures w14:val="none"/>
        </w:rPr>
        <w:t xml:space="preserve"> και τις </w:t>
      </w:r>
      <w:r>
        <w:rPr>
          <w:rFonts w:eastAsia="Times New Roman" w:cs="Times New Roman"/>
          <w:kern w:val="0"/>
          <w14:ligatures w14:val="none"/>
        </w:rPr>
        <w:lastRenderedPageBreak/>
        <w:t xml:space="preserve">αεροδυναμικές αλληλεπιδράσεις μεταξύ πολλαπλών </w:t>
      </w:r>
      <w:proofErr w:type="spellStart"/>
      <w:r>
        <w:rPr>
          <w:rFonts w:eastAsia="Times New Roman" w:cs="Times New Roman"/>
          <w:kern w:val="0"/>
          <w14:ligatures w14:val="none"/>
        </w:rPr>
        <w:t>ροτόρων</w:t>
      </w:r>
      <w:proofErr w:type="spellEnd"/>
      <w:r>
        <w:rPr>
          <w:rFonts w:eastAsia="Times New Roman" w:cs="Times New Roman"/>
          <w:kern w:val="0"/>
          <w14:ligatures w14:val="none"/>
        </w:rPr>
        <w:t xml:space="preserve">, ενώ η οικονομική βιωσιμότητα κάθε εγκατάστασης επηρεάζεται από το κόστος επένδυσης, τις τιμές καυσίμων, την τιμολόγηση του άνθρακα και το λειτουργικό προφίλ του πλοίου </w:t>
      </w:r>
      <w:r>
        <w:rPr>
          <w:rFonts w:eastAsia="Times New Roman" w:cs="Times New Roman"/>
          <w:kern w:val="0"/>
          <w14:ligatures w14:val="none"/>
        </w:rPr>
        <w:fldChar w:fldCharType="begin"/>
      </w:r>
      <w:r>
        <w:rPr>
          <w:rFonts w:eastAsia="Times New Roman" w:cs="Times New Roman"/>
          <w:kern w:val="0"/>
          <w14:ligatures w14:val="none"/>
        </w:rPr>
        <w:instrText xml:space="preserve"> ADDIN ZOTERO_ITEM CSL_CITATION {"citationID":"pdLEs1L5","properties":{"unsorted":false,"formattedCitation":"[40]","plainCitation":"[40]","noteIndex":0},"citationItems":[{"id":125,"uris":["http://zotero.org/users/19904160/items/KCSBP7F6"],"itemData":{"id":125,"type":"article-journal","abstract":"The maritime sector is under pressure to increase ship energy efficiency and reduce greenhouse gas (GHG) emissions as a part of global decarbonization goals. Various innovative technologies are being adopted in recent years, raising concerns not only about technological feasibility but also about the economic viability of such technologies in the context of sustainable maritime practices. This study evaluates the operational performance, potential to increase energy efficiency, and economic feasibility of wind-assisted propulsion technologies such as rotor sails across different vessel types and operational profiles. As a contribution to cleaner and more efficient shipping, energy savings produced by rotor thrust were analyzed in relation to vessel dimensions and rotor configuration. The results derived from publicly available industry data including shipowner reports, manufacturer case studies, and classification society publications on 25 confirmed rotor sail installations between 2010 and 2025 indicate that savings typically range between 4% and 15%, with isolated cases reporting up to 25%. A simulation model was developed to assess payback time based on varying fuel consumption, investment cost, CO2 pricing, and operational parameters. Monte Carlo analysis confirmed that under typical assumptions rotor sail investments can reach payback in three to six years (as the ship is also liable for CO2 payments). These findings offer practical guidance for shipowners and operators evaluating wind-assisted propulsion under current and emerging environmental regulations and contribute to advancing sustainability in maritime transport. The research contributes to bridging the gap between simulation-based and real-world performance evaluations of rotor sail technologies.","container-title":"Sustainability","DOI":"10.3390/su17135909","ISSN":"2071-1050","issue":"13","language":"en","license":"http://creativecommons.org/licenses/by/3.0/","page":"5909","publisher":"Multidisciplinary Digital Publishing Institute","source":"www.mdpi.com","title":"Economic Feasibility and Operational Performance of Rotor Sails in Maritime Transport","volume":"17","author":[{"family":"Carjova","given":"Kristine"},{"family":"Hilmola","given":"Olli-Pekka"},{"family":"Tapaninen","given":"Ulla"}],"issued":{"date-parts":[["2025",1]]}}}],"schema":"https://github.com/citation-style-language/schema/raw/master/csl-citation.json"} </w:instrText>
      </w:r>
      <w:r>
        <w:rPr>
          <w:rFonts w:eastAsia="Times New Roman" w:cs="Times New Roman"/>
          <w:kern w:val="0"/>
          <w14:ligatures w14:val="none"/>
        </w:rPr>
        <w:fldChar w:fldCharType="separate"/>
      </w:r>
      <w:r>
        <w:rPr>
          <w:rFonts w:cs="Times New Roman"/>
        </w:rPr>
        <w:t>[40]</w:t>
      </w:r>
      <w:r>
        <w:rPr>
          <w:rFonts w:eastAsia="Times New Roman" w:cs="Times New Roman"/>
          <w:kern w:val="0"/>
          <w14:ligatures w14:val="none"/>
        </w:rPr>
        <w:fldChar w:fldCharType="end"/>
      </w:r>
      <w:r>
        <w:rPr>
          <w:rFonts w:eastAsia="Times New Roman" w:cs="Times New Roman"/>
          <w:kern w:val="0"/>
          <w14:ligatures w14:val="none"/>
        </w:rPr>
        <w:t>.</w:t>
      </w:r>
    </w:p>
    <w:p w14:paraId="07B12B94" w14:textId="77777777" w:rsidR="00DE2BC7" w:rsidRDefault="00DE2BC7" w:rsidP="004F3B55">
      <w:pPr>
        <w:spacing w:before="100" w:beforeAutospacing="1" w:after="100" w:afterAutospacing="1" w:line="360" w:lineRule="auto"/>
        <w:jc w:val="both"/>
        <w:rPr>
          <w:rFonts w:eastAsia="Times New Roman" w:cs="Times New Roman"/>
          <w:kern w:val="0"/>
          <w14:ligatures w14:val="none"/>
        </w:rPr>
      </w:pPr>
      <w:r>
        <w:rPr>
          <w:rFonts w:eastAsia="Times New Roman" w:cs="Times New Roman"/>
          <w:noProof/>
          <w:kern w:val="0"/>
          <w14:ligatures w14:val="none"/>
        </w:rPr>
        <w:drawing>
          <wp:anchor distT="0" distB="0" distL="114300" distR="114300" simplePos="0" relativeHeight="251658265" behindDoc="1" locked="0" layoutInCell="1" allowOverlap="1" wp14:anchorId="78FC8D2A" wp14:editId="1DB0AEE5">
            <wp:simplePos x="0" y="0"/>
            <wp:positionH relativeFrom="margin">
              <wp:align>center</wp:align>
            </wp:positionH>
            <wp:positionV relativeFrom="paragraph">
              <wp:posOffset>60641</wp:posOffset>
            </wp:positionV>
            <wp:extent cx="3782060" cy="2759710"/>
            <wp:effectExtent l="0" t="0" r="8890" b="2540"/>
            <wp:wrapTight wrapText="bothSides">
              <wp:wrapPolygon edited="0">
                <wp:start x="0" y="0"/>
                <wp:lineTo x="0" y="21471"/>
                <wp:lineTo x="21542" y="21471"/>
                <wp:lineTo x="21542" y="0"/>
                <wp:lineTo x="0" y="0"/>
              </wp:wrapPolygon>
            </wp:wrapTight>
            <wp:docPr id="36267185"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782060" cy="2759710"/>
                    </a:xfrm>
                    <a:prstGeom prst="rect">
                      <a:avLst/>
                    </a:prstGeom>
                    <a:noFill/>
                  </pic:spPr>
                </pic:pic>
              </a:graphicData>
            </a:graphic>
            <wp14:sizeRelH relativeFrom="margin">
              <wp14:pctWidth>0</wp14:pctWidth>
            </wp14:sizeRelH>
            <wp14:sizeRelV relativeFrom="margin">
              <wp14:pctHeight>0</wp14:pctHeight>
            </wp14:sizeRelV>
          </wp:anchor>
        </w:drawing>
      </w:r>
    </w:p>
    <w:p w14:paraId="32E18AF5" w14:textId="77777777" w:rsidR="00DE2BC7" w:rsidRPr="00DE2BC7" w:rsidRDefault="00DE2BC7" w:rsidP="00DE2BC7">
      <w:pPr>
        <w:rPr>
          <w:rFonts w:eastAsia="Times New Roman" w:cs="Times New Roman"/>
        </w:rPr>
      </w:pPr>
    </w:p>
    <w:p w14:paraId="119CA9B4" w14:textId="77777777" w:rsidR="00DE2BC7" w:rsidRPr="00DE2BC7" w:rsidRDefault="00DE2BC7" w:rsidP="00DE2BC7">
      <w:pPr>
        <w:rPr>
          <w:rFonts w:eastAsia="Times New Roman" w:cs="Times New Roman"/>
        </w:rPr>
      </w:pPr>
    </w:p>
    <w:p w14:paraId="422729EB" w14:textId="77777777" w:rsidR="00DE2BC7" w:rsidRPr="00DE2BC7" w:rsidRDefault="00DE2BC7" w:rsidP="00DE2BC7">
      <w:pPr>
        <w:rPr>
          <w:rFonts w:eastAsia="Times New Roman" w:cs="Times New Roman"/>
        </w:rPr>
      </w:pPr>
    </w:p>
    <w:p w14:paraId="737FF9CE" w14:textId="77777777" w:rsidR="00DE2BC7" w:rsidRPr="00DE2BC7" w:rsidRDefault="00DE2BC7" w:rsidP="00DE2BC7">
      <w:pPr>
        <w:rPr>
          <w:rFonts w:eastAsia="Times New Roman" w:cs="Times New Roman"/>
        </w:rPr>
      </w:pPr>
    </w:p>
    <w:p w14:paraId="0F9F4116" w14:textId="77777777" w:rsidR="00DE2BC7" w:rsidRPr="00DE2BC7" w:rsidRDefault="00DE2BC7" w:rsidP="00DE2BC7">
      <w:pPr>
        <w:rPr>
          <w:rFonts w:eastAsia="Times New Roman" w:cs="Times New Roman"/>
        </w:rPr>
      </w:pPr>
    </w:p>
    <w:p w14:paraId="6B90962C" w14:textId="77777777" w:rsidR="00DE2BC7" w:rsidRDefault="00DE2BC7" w:rsidP="00DE2BC7">
      <w:pPr>
        <w:rPr>
          <w:rFonts w:eastAsia="Times New Roman" w:cs="Times New Roman"/>
          <w:kern w:val="0"/>
          <w14:ligatures w14:val="none"/>
        </w:rPr>
      </w:pPr>
    </w:p>
    <w:p w14:paraId="24DE0422" w14:textId="77777777" w:rsidR="00DE2BC7" w:rsidRDefault="00DE2BC7" w:rsidP="00DE2BC7">
      <w:pPr>
        <w:rPr>
          <w:rFonts w:eastAsia="Times New Roman" w:cs="Times New Roman"/>
        </w:rPr>
      </w:pPr>
    </w:p>
    <w:p w14:paraId="7451406D" w14:textId="77777777" w:rsidR="00DE2BC7" w:rsidRDefault="00DE2BC7" w:rsidP="00DE2BC7">
      <w:pPr>
        <w:rPr>
          <w:rFonts w:eastAsia="Times New Roman" w:cs="Times New Roman"/>
        </w:rPr>
      </w:pPr>
    </w:p>
    <w:p w14:paraId="6C2178A7" w14:textId="77777777" w:rsidR="00DE2BC7" w:rsidRDefault="00DE2BC7" w:rsidP="00DE2BC7">
      <w:pPr>
        <w:rPr>
          <w:rFonts w:eastAsia="Times New Roman" w:cs="Times New Roman"/>
        </w:rPr>
      </w:pPr>
      <w:r>
        <w:rPr>
          <w:noProof/>
        </w:rPr>
        <mc:AlternateContent>
          <mc:Choice Requires="wps">
            <w:drawing>
              <wp:anchor distT="0" distB="0" distL="114300" distR="114300" simplePos="0" relativeHeight="251658266" behindDoc="1" locked="0" layoutInCell="1" allowOverlap="1" wp14:anchorId="58F577BE" wp14:editId="0D51FF02">
                <wp:simplePos x="0" y="0"/>
                <wp:positionH relativeFrom="margin">
                  <wp:posOffset>850706</wp:posOffset>
                </wp:positionH>
                <wp:positionV relativeFrom="paragraph">
                  <wp:posOffset>116840</wp:posOffset>
                </wp:positionV>
                <wp:extent cx="4067810" cy="635"/>
                <wp:effectExtent l="0" t="0" r="8890" b="8255"/>
                <wp:wrapTight wrapText="bothSides">
                  <wp:wrapPolygon edited="0">
                    <wp:start x="0" y="0"/>
                    <wp:lineTo x="0" y="20698"/>
                    <wp:lineTo x="21546" y="20698"/>
                    <wp:lineTo x="21546" y="0"/>
                    <wp:lineTo x="0" y="0"/>
                  </wp:wrapPolygon>
                </wp:wrapTight>
                <wp:docPr id="632846913" name="Πλαίσιο κειμένου 1"/>
                <wp:cNvGraphicFramePr/>
                <a:graphic xmlns:a="http://schemas.openxmlformats.org/drawingml/2006/main">
                  <a:graphicData uri="http://schemas.microsoft.com/office/word/2010/wordprocessingShape">
                    <wps:wsp>
                      <wps:cNvSpPr txBox="1"/>
                      <wps:spPr>
                        <a:xfrm>
                          <a:off x="0" y="0"/>
                          <a:ext cx="4067810" cy="635"/>
                        </a:xfrm>
                        <a:prstGeom prst="rect">
                          <a:avLst/>
                        </a:prstGeom>
                        <a:solidFill>
                          <a:prstClr val="white"/>
                        </a:solidFill>
                        <a:ln>
                          <a:noFill/>
                        </a:ln>
                      </wps:spPr>
                      <wps:txbx>
                        <w:txbxContent>
                          <w:p w14:paraId="017CDBB7" w14:textId="6432F21C" w:rsidR="00DE2BC7" w:rsidRPr="00DE2BC7" w:rsidRDefault="00F822A6" w:rsidP="00DE2BC7">
                            <w:pPr>
                              <w:pStyle w:val="af2"/>
                              <w:rPr>
                                <w:rFonts w:eastAsia="Times New Roman" w:cs="Times New Roman"/>
                                <w:b/>
                                <w:bCs/>
                                <w:noProof/>
                                <w:kern w:val="0"/>
                                <w14:ligatures w14:val="none"/>
                              </w:rPr>
                            </w:pPr>
                            <w:bookmarkStart w:id="93" w:name="_Toc243077691"/>
                            <w:bookmarkStart w:id="94" w:name="_Toc243355379"/>
                            <w:r>
                              <w:rPr>
                                <w:b/>
                                <w:bCs/>
                              </w:rPr>
                              <w:t>Εικόνα</w:t>
                            </w:r>
                            <w:r w:rsidR="00DE2BC7">
                              <w:rPr>
                                <w:b/>
                                <w:bCs/>
                              </w:rPr>
                              <w:t xml:space="preserve"> </w:t>
                            </w:r>
                            <w:r w:rsidR="00DE2BC7" w:rsidRPr="00DE2BC7">
                              <w:rPr>
                                <w:b/>
                                <w:bCs/>
                              </w:rPr>
                              <w:fldChar w:fldCharType="begin"/>
                            </w:r>
                            <w:r w:rsidR="00DE2BC7" w:rsidRPr="00DE2BC7">
                              <w:rPr>
                                <w:b/>
                                <w:bCs/>
                              </w:rPr>
                              <w:instrText xml:space="preserve"> SEQ Figure \* ARABIC </w:instrText>
                            </w:r>
                            <w:r w:rsidR="00DE2BC7" w:rsidRPr="00DE2BC7">
                              <w:rPr>
                                <w:b/>
                                <w:bCs/>
                              </w:rPr>
                              <w:fldChar w:fldCharType="separate"/>
                            </w:r>
                            <w:r w:rsidR="00B0043E">
                              <w:rPr>
                                <w:b/>
                                <w:bCs/>
                                <w:noProof/>
                              </w:rPr>
                              <w:t>14</w:t>
                            </w:r>
                            <w:r w:rsidR="00DE2BC7" w:rsidRPr="00DE2BC7">
                              <w:rPr>
                                <w:b/>
                                <w:bCs/>
                              </w:rPr>
                              <w:fldChar w:fldCharType="end"/>
                            </w:r>
                            <w:r w:rsidR="00DE2BC7">
                              <w:rPr>
                                <w:b/>
                                <w:bCs/>
                              </w:rPr>
                              <w:t>: Το δεξαμενόπλοιο Alkyone, 50</w:t>
                            </w:r>
                            <w:r w:rsidR="0042410A">
                              <w:rPr>
                                <w:b/>
                                <w:bCs/>
                              </w:rPr>
                              <w:t>.</w:t>
                            </w:r>
                            <w:r w:rsidR="00DE2BC7">
                              <w:rPr>
                                <w:b/>
                                <w:bCs/>
                              </w:rPr>
                              <w:t>000 DWT, μετασκευασμένο με 2 ιστία-ρότορες Norsepower</w:t>
                            </w:r>
                            <w:bookmarkEnd w:id="93"/>
                            <w:bookmarkEnd w:id="9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8F577BE" id="_x0000_s1037" type="#_x0000_t202" style="position:absolute;margin-left:67pt;margin-top:9.2pt;width:320.3pt;height:.05pt;z-index:-25165821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" stroked="f">
                <v:textbox style="mso-fit-shape-to-text:t" inset="0,0,0,0">
                  <w:txbxContent>
                    <w:p w14:paraId="017CDBB7" w14:textId="6432F21C" w:rsidR="00DE2BC7" w:rsidRPr="00DE2BC7" w:rsidRDefault="00F822A6" w:rsidP="00DE2BC7">
                      <w:pPr>
                        <w:pStyle w:val="af2"/>
                        <w:rPr>
                          <w:rFonts w:eastAsia="Times New Roman" w:cs="Times New Roman"/>
                          <w:b/>
                          <w:bCs/>
                          <w:noProof/>
                          <w:kern w:val="0"/>
                          <w14:ligatures w14:val="none"/>
                        </w:rPr>
                      </w:pPr>
                      <w:bookmarkStart w:id="95" w:name="_Toc243077691"/>
                      <w:bookmarkStart w:id="96" w:name="_Toc243355379"/>
                      <w:r>
                        <w:rPr>
                          <w:b/>
                          <w:bCs/>
                        </w:rPr>
                        <w:t>Εικόνα</w:t>
                      </w:r>
                      <w:r w:rsidR="00DE2BC7">
                        <w:rPr>
                          <w:b/>
                          <w:bCs/>
                        </w:rPr>
                        <w:t xml:space="preserve"> </w:t>
                      </w:r>
                      <w:r w:rsidR="00DE2BC7" w:rsidRPr="00DE2BC7">
                        <w:rPr>
                          <w:b/>
                          <w:bCs/>
                        </w:rPr>
                        <w:fldChar w:fldCharType="begin"/>
                      </w:r>
                      <w:r w:rsidR="00DE2BC7" w:rsidRPr="00DE2BC7">
                        <w:rPr>
                          <w:b/>
                          <w:bCs/>
                        </w:rPr>
                        <w:instrText xml:space="preserve"> SEQ Figure \* ARABIC </w:instrText>
                      </w:r>
                      <w:r w:rsidR="00DE2BC7" w:rsidRPr="00DE2BC7">
                        <w:rPr>
                          <w:b/>
                          <w:bCs/>
                        </w:rPr>
                        <w:fldChar w:fldCharType="separate"/>
                      </w:r>
                      <w:r w:rsidR="00B0043E">
                        <w:rPr>
                          <w:b/>
                          <w:bCs/>
                          <w:noProof/>
                        </w:rPr>
                        <w:t>14</w:t>
                      </w:r>
                      <w:r w:rsidR="00DE2BC7" w:rsidRPr="00DE2BC7">
                        <w:rPr>
                          <w:b/>
                          <w:bCs/>
                        </w:rPr>
                        <w:fldChar w:fldCharType="end"/>
                      </w:r>
                      <w:r w:rsidR="00DE2BC7">
                        <w:rPr>
                          <w:b/>
                          <w:bCs/>
                        </w:rPr>
                        <w:t>: Το δεξαμενόπλοιο Alkyone, 50</w:t>
                      </w:r>
                      <w:r w:rsidR="0042410A">
                        <w:rPr>
                          <w:b/>
                          <w:bCs/>
                        </w:rPr>
                        <w:t>.</w:t>
                      </w:r>
                      <w:r w:rsidR="00DE2BC7">
                        <w:rPr>
                          <w:b/>
                          <w:bCs/>
                        </w:rPr>
                        <w:t>000 DWT, μετασκευασμένο με 2 ιστία-ρότορες Norsepower</w:t>
                      </w:r>
                      <w:bookmarkEnd w:id="95"/>
                      <w:bookmarkEnd w:id="96"/>
                    </w:p>
                  </w:txbxContent>
                </v:textbox>
                <w10:wrap type="tight" anchorx="margin"/>
              </v:shape>
            </w:pict>
          </mc:Fallback>
        </mc:AlternateContent>
      </w:r>
    </w:p>
    <w:p w14:paraId="5B1E7D9A" w14:textId="77777777" w:rsidR="00DE2BC7" w:rsidRPr="00DE2BC7" w:rsidRDefault="00DE2BC7" w:rsidP="00DE2BC7">
      <w:pPr>
        <w:rPr>
          <w:rFonts w:eastAsia="Times New Roman" w:cs="Times New Roman"/>
        </w:rPr>
      </w:pPr>
    </w:p>
    <w:p w14:paraId="3BC55C2E" w14:textId="77777777" w:rsidR="004F3B55" w:rsidRDefault="00532E70" w:rsidP="005652FE">
      <w:pPr>
        <w:pStyle w:val="30"/>
      </w:pPr>
      <w:bookmarkStart w:id="97" w:name="_Toc243355284"/>
      <w:r>
        <w:t>Πτέρυγες αναρρόφησης (</w:t>
      </w:r>
      <w:proofErr w:type="spellStart"/>
      <w:r>
        <w:t>suction</w:t>
      </w:r>
      <w:proofErr w:type="spellEnd"/>
      <w:r>
        <w:t xml:space="preserve"> </w:t>
      </w:r>
      <w:proofErr w:type="spellStart"/>
      <w:r>
        <w:t>wings</w:t>
      </w:r>
      <w:proofErr w:type="spellEnd"/>
      <w:r>
        <w:t>)</w:t>
      </w:r>
      <w:bookmarkEnd w:id="97"/>
    </w:p>
    <w:p w14:paraId="1D6E2562" w14:textId="2749B7D7" w:rsidR="00A75725" w:rsidRDefault="00A75725" w:rsidP="00480A59">
      <w:pPr>
        <w:spacing w:before="100" w:beforeAutospacing="1" w:after="100" w:afterAutospacing="1" w:line="360" w:lineRule="auto"/>
        <w:ind w:firstLine="576"/>
        <w:jc w:val="both"/>
        <w:rPr>
          <w:rFonts w:eastAsia="Times New Roman" w:cs="Times New Roman"/>
          <w:kern w:val="0"/>
          <w14:ligatures w14:val="none"/>
        </w:rPr>
      </w:pPr>
      <w:r>
        <w:rPr>
          <w:rFonts w:eastAsia="Times New Roman" w:cs="Times New Roman"/>
          <w:kern w:val="0"/>
          <w14:ligatures w14:val="none"/>
        </w:rPr>
        <w:t>Τα ιστία αναρρόφησης (</w:t>
      </w:r>
      <w:proofErr w:type="spellStart"/>
      <w:r>
        <w:rPr>
          <w:rFonts w:eastAsia="Times New Roman" w:cs="Times New Roman"/>
          <w:kern w:val="0"/>
          <w14:ligatures w14:val="none"/>
        </w:rPr>
        <w:t>suction</w:t>
      </w:r>
      <w:proofErr w:type="spellEnd"/>
      <w:r>
        <w:rPr>
          <w:rFonts w:eastAsia="Times New Roman" w:cs="Times New Roman"/>
          <w:kern w:val="0"/>
          <w14:ligatures w14:val="none"/>
        </w:rPr>
        <w:t xml:space="preserve"> </w:t>
      </w:r>
      <w:proofErr w:type="spellStart"/>
      <w:r>
        <w:rPr>
          <w:rFonts w:eastAsia="Times New Roman" w:cs="Times New Roman"/>
          <w:kern w:val="0"/>
          <w14:ligatures w14:val="none"/>
        </w:rPr>
        <w:t>sails</w:t>
      </w:r>
      <w:proofErr w:type="spellEnd"/>
      <w:r>
        <w:rPr>
          <w:rFonts w:eastAsia="Times New Roman" w:cs="Times New Roman"/>
          <w:kern w:val="0"/>
          <w14:ligatures w14:val="none"/>
        </w:rPr>
        <w:t>) αποτελούν προηγμένη τεχνολογία αιολικής υποβοήθησης της πρόωσης, η οποία παράγει πρόσθετη ώση χρησιμοποιώντας αεροδυναμική διατομή πτέρυγας σε συνδυασμό με αναρρόφηση του οριακού στρώματος</w:t>
      </w:r>
      <w:r w:rsidR="00615E5C">
        <w:rPr>
          <w:rFonts w:eastAsia="Times New Roman" w:cs="Times New Roman"/>
          <w:kern w:val="0"/>
          <w14:ligatures w14:val="none"/>
        </w:rPr>
        <w:t xml:space="preserve"> του αέρα</w:t>
      </w:r>
      <w:r>
        <w:rPr>
          <w:rFonts w:eastAsia="Times New Roman" w:cs="Times New Roman"/>
          <w:kern w:val="0"/>
          <w14:ligatures w14:val="none"/>
        </w:rPr>
        <w:t xml:space="preserve">. Σε αντίθεση με τα συμβατικά ιστία, ένας ανεμιστήρας στο άνω άκρο του ιστίου ελέγχει ενεργά τη ροή του αέρα, αναρροφώντας αέρα μέσω μιας πορώδους επιφάνειας, γεγονός που καθυστερεί την αποκόλληση της ροής και διατηρεί τη ροή προσκολλημένη ακόμη και σε μεγαλύτερες γωνίες προσβολής. Έτσι, το ιστίο μπορεί να παράγει σημαντικά υψηλότερους συντελεστές </w:t>
      </w:r>
      <w:proofErr w:type="spellStart"/>
      <w:r>
        <w:rPr>
          <w:rFonts w:eastAsia="Times New Roman" w:cs="Times New Roman"/>
          <w:kern w:val="0"/>
          <w14:ligatures w14:val="none"/>
        </w:rPr>
        <w:t>άντωσης</w:t>
      </w:r>
      <w:proofErr w:type="spellEnd"/>
      <w:r>
        <w:rPr>
          <w:rFonts w:eastAsia="Times New Roman" w:cs="Times New Roman"/>
          <w:kern w:val="0"/>
          <w14:ligatures w14:val="none"/>
        </w:rPr>
        <w:t xml:space="preserve"> και να βελτιώνει την αεροδυναμική απόδοση σε ευρύτερο φάσμα συνθηκών ανέμου. Λόγω του υψηλού λόγου </w:t>
      </w:r>
      <w:proofErr w:type="spellStart"/>
      <w:r>
        <w:rPr>
          <w:rFonts w:eastAsia="Times New Roman" w:cs="Times New Roman"/>
          <w:kern w:val="0"/>
          <w14:ligatures w14:val="none"/>
        </w:rPr>
        <w:t>άντωσης</w:t>
      </w:r>
      <w:proofErr w:type="spellEnd"/>
      <w:r>
        <w:rPr>
          <w:rFonts w:eastAsia="Times New Roman" w:cs="Times New Roman"/>
          <w:kern w:val="0"/>
          <w14:ligatures w14:val="none"/>
        </w:rPr>
        <w:t xml:space="preserve"> προς μέγεθος, τα ιστία αναρρόφησης μπορούν να είναι σημαντικά μικρότερα από τα συμβατικά ιστία, προσφέροντας συγκρίσιμη προωστική επίδοση, γεγονός που τα καθιστά συμπαγή και υποσχόμενη λύση για τη μείωση της κατανάλωσης καυσίμου και των εκπομπών αερίων θερμοκηπίου στην εμπορική ναυτιλία </w:t>
      </w:r>
      <w:r>
        <w:rPr>
          <w:rFonts w:eastAsia="Times New Roman" w:cs="Times New Roman"/>
          <w:kern w:val="0"/>
          <w14:ligatures w14:val="none"/>
        </w:rPr>
        <w:fldChar w:fldCharType="begin"/>
      </w:r>
      <w:r>
        <w:rPr>
          <w:rFonts w:eastAsia="Times New Roman" w:cs="Times New Roman"/>
          <w:kern w:val="0"/>
          <w14:ligatures w14:val="none"/>
        </w:rPr>
        <w:instrText xml:space="preserve"> ADDIN ZOTERO_ITEM CSL_CITATION {"citationID":"vfJtTKFe","properties":{"unsorted":false,"formattedCitation":"[41]","plainCitation":"[41]","noteIndex":0},"citationItems":[{"id":130,"uris":["http://zotero.org/users/19904160/items/GCQ7WPPN"],"itemData":{"id":130,"type":"webpage","abstract":"As part of our ongoing commitment to reducing emissions and improving fuel efficiency, Odfjell will install suction sails on our vessel Bow Olympus. But how exactly do these sails work, and what makes them so effective? Let’s break it down.","language":"en-US","title":"Suction Sails explained: A breakthrough in wind assisted propulsion technology","title-short":"Suction Sails explained","URL":"https://www.odfjell.com/about/our-stories/suction-sails-explained-a-breakthrough-in-wind-propulsion-technology/","accessed":{"date-parts":[["2026",6,29]]}}}],"schema":"https://github.com/citation-style-language/schema/raw/master/csl-citation.json"} </w:instrText>
      </w:r>
      <w:r>
        <w:rPr>
          <w:rFonts w:eastAsia="Times New Roman" w:cs="Times New Roman"/>
          <w:kern w:val="0"/>
          <w14:ligatures w14:val="none"/>
        </w:rPr>
        <w:fldChar w:fldCharType="separate"/>
      </w:r>
      <w:r>
        <w:rPr>
          <w:rFonts w:cs="Times New Roman"/>
        </w:rPr>
        <w:t>[41]</w:t>
      </w:r>
      <w:r>
        <w:rPr>
          <w:rFonts w:eastAsia="Times New Roman" w:cs="Times New Roman"/>
          <w:kern w:val="0"/>
          <w14:ligatures w14:val="none"/>
        </w:rPr>
        <w:fldChar w:fldCharType="end"/>
      </w:r>
      <w:r>
        <w:rPr>
          <w:rFonts w:eastAsia="Times New Roman" w:cs="Times New Roman"/>
          <w:kern w:val="0"/>
          <w14:ligatures w14:val="none"/>
        </w:rPr>
        <w:t xml:space="preserve">. Σε αντίθεση με τους </w:t>
      </w:r>
      <w:proofErr w:type="spellStart"/>
      <w:r>
        <w:rPr>
          <w:rFonts w:eastAsia="Times New Roman" w:cs="Times New Roman"/>
          <w:kern w:val="0"/>
          <w14:ligatures w14:val="none"/>
        </w:rPr>
        <w:t>ρότορες</w:t>
      </w:r>
      <w:proofErr w:type="spellEnd"/>
      <w:r>
        <w:rPr>
          <w:rFonts w:eastAsia="Times New Roman" w:cs="Times New Roman"/>
          <w:kern w:val="0"/>
          <w14:ligatures w14:val="none"/>
        </w:rPr>
        <w:t xml:space="preserve"> </w:t>
      </w:r>
      <w:proofErr w:type="spellStart"/>
      <w:r>
        <w:rPr>
          <w:rFonts w:eastAsia="Times New Roman" w:cs="Times New Roman"/>
          <w:kern w:val="0"/>
          <w14:ligatures w14:val="none"/>
        </w:rPr>
        <w:t>Flettner</w:t>
      </w:r>
      <w:proofErr w:type="spellEnd"/>
      <w:r>
        <w:rPr>
          <w:rFonts w:eastAsia="Times New Roman" w:cs="Times New Roman"/>
          <w:kern w:val="0"/>
          <w14:ligatures w14:val="none"/>
        </w:rPr>
        <w:t xml:space="preserve">, οι εξωτερικές επιφάνειες των πτερύγων αναρρόφησης παραμένουν ακίνητες. Ωστόσο, τα ιστία αυτά μπορούν να </w:t>
      </w:r>
      <w:r>
        <w:rPr>
          <w:rFonts w:eastAsia="Times New Roman" w:cs="Times New Roman"/>
          <w:kern w:val="0"/>
          <w14:ligatures w14:val="none"/>
        </w:rPr>
        <w:lastRenderedPageBreak/>
        <w:t>προσαρμόζονται αυτόματα ώστε να ευθυγραμμίζονται με την επικρατούσα διεύθυνση του ανέμου. Τα πτερυγοειδή ιστία είναι εξοπλισμένα με ενσωματωμένους ανεμιστήρες και ανοίγματα, που αξιοποιούν την αναρρόφηση του οριακού στρώματος για να ενισχύσουν την παραγόμενη αεροδυναμική δύναμη, επιπλέον της συμβατικής ώσης που οφείλεται σ</w:t>
      </w:r>
      <w:r w:rsidR="00CF11C6">
        <w:rPr>
          <w:rFonts w:eastAsia="Times New Roman" w:cs="Times New Roman"/>
          <w:kern w:val="0"/>
          <w14:ligatures w14:val="none"/>
        </w:rPr>
        <w:t>το σχήμα</w:t>
      </w:r>
      <w:r>
        <w:rPr>
          <w:rFonts w:eastAsia="Times New Roman" w:cs="Times New Roman"/>
          <w:kern w:val="0"/>
          <w14:ligatures w14:val="none"/>
        </w:rPr>
        <w:t xml:space="preserve"> του ιστίου </w:t>
      </w:r>
      <w:r>
        <w:rPr>
          <w:rFonts w:eastAsia="Times New Roman" w:cs="Times New Roman"/>
          <w:kern w:val="0"/>
          <w14:ligatures w14:val="none"/>
        </w:rPr>
        <w:fldChar w:fldCharType="begin"/>
      </w:r>
      <w:r>
        <w:rPr>
          <w:rFonts w:eastAsia="Times New Roman" w:cs="Times New Roman"/>
          <w:kern w:val="0"/>
          <w14:ligatures w14:val="none"/>
        </w:rPr>
        <w:instrText xml:space="preserve"> ADDIN ZOTERO_ITEM CSL_CITATION {"citationID":"SVAedJ5r","properties":{"unsorted":false,"formattedCitation":"[42]","plainCitation":"[42]","noteIndex":0},"citationItems":[{"id":132,"uris":["http://zotero.org/users/19904160/items/UVGYM2BV"],"itemData":{"id":132,"type":"article-journal","container-title":"TransNav, the International Journal on Marine Navigation and Safety of Sea Transportation","DOI":"10.12716/1001.19.01.25","ISSN":"2083-6473","issue":"1","journalAbbreviation":"TransNav","language":"en","page":"217-225","source":"DOI.org (Crossref)","title":"Harnessing the Wind: The Rise of Wind-Assisted Ship Propulsion (WASP) in the Transformation of Maritime Transport","title-short":"Harnessing the Wind","volume":"19","author":[{"family":"Gaul","given":"Katarzyna"},{"family":"Rutkowski","given":"Grzegorz"}],"issued":{"date-parts":[["2025"]]}}}],"schema":"https://github.com/citation-style-language/schema/raw/master/csl-citation.json"} </w:instrText>
      </w:r>
      <w:r>
        <w:rPr>
          <w:rFonts w:eastAsia="Times New Roman" w:cs="Times New Roman"/>
          <w:kern w:val="0"/>
          <w14:ligatures w14:val="none"/>
        </w:rPr>
        <w:fldChar w:fldCharType="separate"/>
      </w:r>
      <w:r>
        <w:rPr>
          <w:rFonts w:cs="Times New Roman"/>
        </w:rPr>
        <w:t>[42]</w:t>
      </w:r>
      <w:r>
        <w:rPr>
          <w:rFonts w:eastAsia="Times New Roman" w:cs="Times New Roman"/>
          <w:kern w:val="0"/>
          <w14:ligatures w14:val="none"/>
        </w:rPr>
        <w:fldChar w:fldCharType="end"/>
      </w:r>
      <w:r>
        <w:rPr>
          <w:rFonts w:eastAsia="Times New Roman" w:cs="Times New Roman"/>
          <w:kern w:val="0"/>
          <w14:ligatures w14:val="none"/>
        </w:rPr>
        <w:t>.</w:t>
      </w:r>
    </w:p>
    <w:p w14:paraId="259CDDD2" w14:textId="77777777" w:rsidR="009A652A" w:rsidRPr="00C84D66" w:rsidRDefault="00942A47" w:rsidP="00A75725">
      <w:pPr>
        <w:spacing w:before="100" w:beforeAutospacing="1" w:after="100" w:afterAutospacing="1" w:line="360" w:lineRule="auto"/>
        <w:jc w:val="both"/>
        <w:rPr>
          <w:rFonts w:eastAsia="Times New Roman" w:cs="Times New Roman"/>
          <w:kern w:val="0"/>
          <w14:ligatures w14:val="none"/>
        </w:rPr>
      </w:pPr>
      <w:r>
        <w:rPr>
          <w:noProof/>
        </w:rPr>
        <mc:AlternateContent>
          <mc:Choice Requires="wps">
            <w:drawing>
              <wp:anchor distT="0" distB="0" distL="114300" distR="114300" simplePos="0" relativeHeight="251658268" behindDoc="1" locked="0" layoutInCell="1" allowOverlap="1" wp14:anchorId="70DAFE95" wp14:editId="2741D537">
                <wp:simplePos x="0" y="0"/>
                <wp:positionH relativeFrom="margin">
                  <wp:align>center</wp:align>
                </wp:positionH>
                <wp:positionV relativeFrom="paragraph">
                  <wp:posOffset>2578100</wp:posOffset>
                </wp:positionV>
                <wp:extent cx="4992370" cy="635"/>
                <wp:effectExtent l="0" t="0" r="0" b="8255"/>
                <wp:wrapTight wrapText="bothSides">
                  <wp:wrapPolygon edited="0">
                    <wp:start x="0" y="0"/>
                    <wp:lineTo x="0" y="20698"/>
                    <wp:lineTo x="21512" y="20698"/>
                    <wp:lineTo x="21512" y="0"/>
                    <wp:lineTo x="0" y="0"/>
                  </wp:wrapPolygon>
                </wp:wrapTight>
                <wp:docPr id="1928551473" name="Πλαίσιο κειμένου 1"/>
                <wp:cNvGraphicFramePr/>
                <a:graphic xmlns:a="http://schemas.openxmlformats.org/drawingml/2006/main">
                  <a:graphicData uri="http://schemas.microsoft.com/office/word/2010/wordprocessingShape">
                    <wps:wsp>
                      <wps:cNvSpPr txBox="1"/>
                      <wps:spPr>
                        <a:xfrm>
                          <a:off x="0" y="0"/>
                          <a:ext cx="4992370" cy="635"/>
                        </a:xfrm>
                        <a:prstGeom prst="rect">
                          <a:avLst/>
                        </a:prstGeom>
                        <a:solidFill>
                          <a:prstClr val="white"/>
                        </a:solidFill>
                        <a:ln>
                          <a:noFill/>
                        </a:ln>
                      </wps:spPr>
                      <wps:txbx>
                        <w:txbxContent>
                          <w:p w14:paraId="29F64B9C" w14:textId="2BC5A760" w:rsidR="00942A47" w:rsidRPr="00BB71A5" w:rsidRDefault="00F822A6" w:rsidP="000B7E95">
                            <w:pPr>
                              <w:pStyle w:val="af2"/>
                              <w:jc w:val="both"/>
                              <w:rPr>
                                <w:b/>
                                <w:bCs/>
                                <w:noProof/>
                              </w:rPr>
                            </w:pPr>
                            <w:bookmarkStart w:id="98" w:name="_Toc243077692"/>
                            <w:bookmarkStart w:id="99" w:name="_Toc243355380"/>
                            <w:r>
                              <w:rPr>
                                <w:b/>
                                <w:bCs/>
                              </w:rPr>
                              <w:t>Εικόνα</w:t>
                            </w:r>
                            <w:r w:rsidR="00942A47">
                              <w:rPr>
                                <w:b/>
                                <w:bCs/>
                              </w:rPr>
                              <w:t xml:space="preserve"> </w:t>
                            </w:r>
                            <w:r w:rsidR="00942A47" w:rsidRPr="00BB71A5">
                              <w:rPr>
                                <w:b/>
                                <w:bCs/>
                              </w:rPr>
                              <w:fldChar w:fldCharType="begin"/>
                            </w:r>
                            <w:r w:rsidR="00942A47" w:rsidRPr="00BB71A5">
                              <w:rPr>
                                <w:b/>
                                <w:bCs/>
                              </w:rPr>
                              <w:instrText xml:space="preserve"> SEQ Figure \* ARABIC </w:instrText>
                            </w:r>
                            <w:r w:rsidR="00942A47" w:rsidRPr="00BB71A5">
                              <w:rPr>
                                <w:b/>
                                <w:bCs/>
                              </w:rPr>
                              <w:fldChar w:fldCharType="separate"/>
                            </w:r>
                            <w:r w:rsidR="00B0043E">
                              <w:rPr>
                                <w:b/>
                                <w:bCs/>
                                <w:noProof/>
                              </w:rPr>
                              <w:t>15</w:t>
                            </w:r>
                            <w:r w:rsidR="00942A47" w:rsidRPr="00BB71A5">
                              <w:rPr>
                                <w:b/>
                                <w:bCs/>
                              </w:rPr>
                              <w:fldChar w:fldCharType="end"/>
                            </w:r>
                            <w:r w:rsidR="00942A47">
                              <w:rPr>
                                <w:b/>
                                <w:bCs/>
                              </w:rPr>
                              <w:t>: Το πλοίο Panamax (bunker) Crimson Kingdom, 84</w:t>
                            </w:r>
                            <w:r w:rsidR="0042410A">
                              <w:rPr>
                                <w:b/>
                                <w:bCs/>
                              </w:rPr>
                              <w:t>.</w:t>
                            </w:r>
                            <w:r w:rsidR="00942A47">
                              <w:rPr>
                                <w:b/>
                                <w:bCs/>
                              </w:rPr>
                              <w:t>860 DWT, μετασκευασμένο με 4 ιστία αναρρόφησης Bound4blue</w:t>
                            </w:r>
                            <w:bookmarkEnd w:id="98"/>
                            <w:bookmarkEnd w:id="9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0DAFE95" id="_x0000_s1038" type="#_x0000_t202" style="position:absolute;left:0;text-align:left;margin-left:0;margin-top:203pt;width:393.1pt;height:.05pt;z-index:-2516582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" stroked="f">
                <v:textbox style="mso-fit-shape-to-text:t" inset="0,0,0,0">
                  <w:txbxContent>
                    <w:p w14:paraId="29F64B9C" w14:textId="2BC5A760" w:rsidR="00942A47" w:rsidRPr="00BB71A5" w:rsidRDefault="00F822A6" w:rsidP="000B7E95">
                      <w:pPr>
                        <w:pStyle w:val="af2"/>
                        <w:jc w:val="both"/>
                        <w:rPr>
                          <w:b/>
                          <w:bCs/>
                          <w:noProof/>
                        </w:rPr>
                      </w:pPr>
                      <w:bookmarkStart w:id="100" w:name="_Toc243077692"/>
                      <w:bookmarkStart w:id="101" w:name="_Toc243355380"/>
                      <w:r>
                        <w:rPr>
                          <w:b/>
                          <w:bCs/>
                        </w:rPr>
                        <w:t>Εικόνα</w:t>
                      </w:r>
                      <w:r w:rsidR="00942A47">
                        <w:rPr>
                          <w:b/>
                          <w:bCs/>
                        </w:rPr>
                        <w:t xml:space="preserve"> </w:t>
                      </w:r>
                      <w:r w:rsidR="00942A47" w:rsidRPr="00BB71A5">
                        <w:rPr>
                          <w:b/>
                          <w:bCs/>
                        </w:rPr>
                        <w:fldChar w:fldCharType="begin"/>
                      </w:r>
                      <w:r w:rsidR="00942A47" w:rsidRPr="00BB71A5">
                        <w:rPr>
                          <w:b/>
                          <w:bCs/>
                        </w:rPr>
                        <w:instrText xml:space="preserve"> SEQ Figure \* ARABIC </w:instrText>
                      </w:r>
                      <w:r w:rsidR="00942A47" w:rsidRPr="00BB71A5">
                        <w:rPr>
                          <w:b/>
                          <w:bCs/>
                        </w:rPr>
                        <w:fldChar w:fldCharType="separate"/>
                      </w:r>
                      <w:r w:rsidR="00B0043E">
                        <w:rPr>
                          <w:b/>
                          <w:bCs/>
                          <w:noProof/>
                        </w:rPr>
                        <w:t>15</w:t>
                      </w:r>
                      <w:r w:rsidR="00942A47" w:rsidRPr="00BB71A5">
                        <w:rPr>
                          <w:b/>
                          <w:bCs/>
                        </w:rPr>
                        <w:fldChar w:fldCharType="end"/>
                      </w:r>
                      <w:r w:rsidR="00942A47">
                        <w:rPr>
                          <w:b/>
                          <w:bCs/>
                        </w:rPr>
                        <w:t>: Το πλοίο Panamax (bunker) Crimson Kingdom, 84</w:t>
                      </w:r>
                      <w:r w:rsidR="0042410A">
                        <w:rPr>
                          <w:b/>
                          <w:bCs/>
                        </w:rPr>
                        <w:t>.</w:t>
                      </w:r>
                      <w:r w:rsidR="00942A47">
                        <w:rPr>
                          <w:b/>
                          <w:bCs/>
                        </w:rPr>
                        <w:t>860 DWT, μετασκευασμένο με 4 ιστία αναρρόφησης Bound4blue</w:t>
                      </w:r>
                      <w:bookmarkEnd w:id="100"/>
                      <w:bookmarkEnd w:id="101"/>
                    </w:p>
                  </w:txbxContent>
                </v:textbox>
                <w10:wrap type="tight" anchorx="margin"/>
              </v:shape>
            </w:pict>
          </mc:Fallback>
        </mc:AlternateContent>
      </w:r>
      <w:r w:rsidR="0063529E">
        <w:rPr>
          <w:noProof/>
        </w:rPr>
        <w:drawing>
          <wp:anchor distT="0" distB="0" distL="114300" distR="114300" simplePos="0" relativeHeight="251658267" behindDoc="1" locked="0" layoutInCell="1" allowOverlap="1" wp14:anchorId="46304E8C" wp14:editId="63DDAC17">
            <wp:simplePos x="0" y="0"/>
            <wp:positionH relativeFrom="margin">
              <wp:align>center</wp:align>
            </wp:positionH>
            <wp:positionV relativeFrom="paragraph">
              <wp:posOffset>2431</wp:posOffset>
            </wp:positionV>
            <wp:extent cx="4487545" cy="2519045"/>
            <wp:effectExtent l="0" t="0" r="8255" b="0"/>
            <wp:wrapTight wrapText="bothSides">
              <wp:wrapPolygon edited="0">
                <wp:start x="0" y="0"/>
                <wp:lineTo x="0" y="21399"/>
                <wp:lineTo x="21548" y="21399"/>
                <wp:lineTo x="21548" y="0"/>
                <wp:lineTo x="0" y="0"/>
              </wp:wrapPolygon>
            </wp:wrapTight>
            <wp:docPr id="1412408427" name="Εικόνα 14" descr="suction sails on bul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uction sails on bulke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87545" cy="25190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F68421" w14:textId="77777777" w:rsidR="00EF67DE" w:rsidRPr="00F4740B" w:rsidRDefault="00F4740B" w:rsidP="00EF67DE">
      <w:pPr>
        <w:pStyle w:val="30"/>
      </w:pPr>
      <w:bookmarkStart w:id="102" w:name="_Toc243355285"/>
      <w:r>
        <w:t>Άκαμπτα ιστία (</w:t>
      </w:r>
      <w:proofErr w:type="spellStart"/>
      <w:r>
        <w:t>rigid</w:t>
      </w:r>
      <w:proofErr w:type="spellEnd"/>
      <w:r>
        <w:t xml:space="preserve"> </w:t>
      </w:r>
      <w:proofErr w:type="spellStart"/>
      <w:r>
        <w:t>sails</w:t>
      </w:r>
      <w:proofErr w:type="spellEnd"/>
      <w:r>
        <w:t>)</w:t>
      </w:r>
      <w:bookmarkEnd w:id="102"/>
    </w:p>
    <w:p w14:paraId="45379A5D" w14:textId="2B44A05B" w:rsidR="00FA5754" w:rsidRDefault="00FA5754" w:rsidP="008912AF">
      <w:pPr>
        <w:spacing w:before="100" w:beforeAutospacing="1" w:after="100" w:afterAutospacing="1" w:line="360" w:lineRule="auto"/>
        <w:ind w:firstLine="576"/>
        <w:jc w:val="both"/>
        <w:rPr>
          <w:rFonts w:eastAsia="Times New Roman" w:cs="Times New Roman"/>
          <w:kern w:val="0"/>
          <w14:ligatures w14:val="none"/>
        </w:rPr>
      </w:pPr>
      <w:r>
        <w:rPr>
          <w:rFonts w:eastAsia="Times New Roman" w:cs="Times New Roman"/>
          <w:kern w:val="0"/>
          <w14:ligatures w14:val="none"/>
        </w:rPr>
        <w:t>Τα άκαμπτα ιστία (</w:t>
      </w:r>
      <w:proofErr w:type="spellStart"/>
      <w:r>
        <w:rPr>
          <w:rFonts w:eastAsia="Times New Roman" w:cs="Times New Roman"/>
          <w:kern w:val="0"/>
          <w14:ligatures w14:val="none"/>
        </w:rPr>
        <w:t>rigid</w:t>
      </w:r>
      <w:proofErr w:type="spellEnd"/>
      <w:r>
        <w:rPr>
          <w:rFonts w:eastAsia="Times New Roman" w:cs="Times New Roman"/>
          <w:kern w:val="0"/>
          <w14:ligatures w14:val="none"/>
        </w:rPr>
        <w:t xml:space="preserve"> </w:t>
      </w:r>
      <w:proofErr w:type="spellStart"/>
      <w:r>
        <w:rPr>
          <w:rFonts w:eastAsia="Times New Roman" w:cs="Times New Roman"/>
          <w:kern w:val="0"/>
          <w14:ligatures w14:val="none"/>
        </w:rPr>
        <w:t>sails</w:t>
      </w:r>
      <w:proofErr w:type="spellEnd"/>
      <w:r>
        <w:rPr>
          <w:rFonts w:eastAsia="Times New Roman" w:cs="Times New Roman"/>
          <w:kern w:val="0"/>
          <w14:ligatures w14:val="none"/>
        </w:rPr>
        <w:t>) αποτελούνται από μια σταθερή αεροδυναμική κατασκευή πτέρυγας, η οποία συνήθως περιλαμβάνει ένα κύριο ιστίο και ένα μικρότερο ελεγχόμενο πτερύγιο</w:t>
      </w:r>
      <w:r w:rsidR="002438B3">
        <w:rPr>
          <w:rFonts w:eastAsia="Times New Roman" w:cs="Times New Roman"/>
          <w:kern w:val="0"/>
          <w14:ligatures w14:val="none"/>
        </w:rPr>
        <w:t xml:space="preserve"> ουράς</w:t>
      </w:r>
      <w:r>
        <w:rPr>
          <w:rFonts w:eastAsia="Times New Roman" w:cs="Times New Roman"/>
          <w:kern w:val="0"/>
          <w14:ligatures w14:val="none"/>
        </w:rPr>
        <w:t xml:space="preserve">. Το κύριο ιστίο παράγει την κύρια προωστική δύναμη, ενώ το ουραίο πτερύγιο ρυθμίζει τη γωνία εκτροπής του ώστε να ελέγχει τον προσανατολισμό του κύριου ιστίου ως προς τον φαινόμενο άνεμο. Η αρχή ελέγχου αυτή, εμπνευσμένη από την τεχνολογία των πτερύγων αεροσκαφών, επιτρέπει την αποδοτική ρύθμιση της γωνίας προσβολής με ελάχιστη κατανάλωση ισχύος, καθώς μόνο το μικρότερο ουραίο πτερύγιο χρειάζεται </w:t>
      </w:r>
      <w:r w:rsidR="00A501A5">
        <w:rPr>
          <w:rFonts w:eastAsia="Times New Roman" w:cs="Times New Roman"/>
          <w:kern w:val="0"/>
          <w14:ligatures w14:val="none"/>
        </w:rPr>
        <w:t>κίνηση και άρα ενέργεια</w:t>
      </w:r>
      <w:r>
        <w:rPr>
          <w:rFonts w:eastAsia="Times New Roman" w:cs="Times New Roman"/>
          <w:kern w:val="0"/>
          <w14:ligatures w14:val="none"/>
        </w:rPr>
        <w:t xml:space="preserve">. Αισθητήρες ανέμου παρακολουθούν συνεχώς τις μεταβολές της ταχύτητας και της διεύθυνσης του ανέμου, επιτρέποντας στο σύστημα ελέγχου να βελτιστοποιεί αυτόματα την επίδοση του ιστίου. Σε σύγκριση με τα συμβατικά υφασμάτινα ιστία, τα άκαμπτα ιστία προσφέρουν μεγαλύτερη δομική σταθερότητα, υψηλότερους συντελεστές </w:t>
      </w:r>
      <w:proofErr w:type="spellStart"/>
      <w:r>
        <w:rPr>
          <w:rFonts w:eastAsia="Times New Roman" w:cs="Times New Roman"/>
          <w:kern w:val="0"/>
          <w14:ligatures w14:val="none"/>
        </w:rPr>
        <w:t>άντωσης</w:t>
      </w:r>
      <w:proofErr w:type="spellEnd"/>
      <w:r>
        <w:rPr>
          <w:rFonts w:eastAsia="Times New Roman" w:cs="Times New Roman"/>
          <w:kern w:val="0"/>
          <w14:ligatures w14:val="none"/>
        </w:rPr>
        <w:t xml:space="preserve">, βελτιωμένη αεροδυναμική απόδοση, μικρότερη παραμόρφωση υπό μεταβαλλόμενα φορτία ανέμου και μεγαλύτερη διάρκεια ζωής, γεγονός που τα καθιστά υποσχόμενη τεχνολογία αιολικής υποβοήθησης της πρόωσης για την εμπορική ναυτιλία </w:t>
      </w:r>
      <w:r>
        <w:rPr>
          <w:rFonts w:eastAsia="Times New Roman" w:cs="Times New Roman"/>
          <w:kern w:val="0"/>
          <w14:ligatures w14:val="none"/>
        </w:rPr>
        <w:fldChar w:fldCharType="begin"/>
      </w:r>
      <w:r>
        <w:rPr>
          <w:rFonts w:eastAsia="Times New Roman" w:cs="Times New Roman"/>
          <w:kern w:val="0"/>
          <w14:ligatures w14:val="none"/>
        </w:rPr>
        <w:instrText xml:space="preserve"> ADDIN ZOTERO_ITEM CSL_CITATION {"citationID":"xT7SVR0Z","properties":{"unsorted":false,"formattedCitation":"[43]","plainCitation":"[43]","noteIndex":0},"citationItems":[{"id":134,"uris":["http://zotero.org/users/19904160/items/F5K8R3BQ"],"itemData":{"id":134,"type":"article-journal","abstract":"The utilization of unmanned sailboats as a burgeoning instrument for ocean exploration and monitoring is steadily rising. In this study, a dual sail configuration is put forth to augment the sailboats’ proficiency in its wind-catching ability and adapt to the harsh environment of the sea. This proposition is based on a thorough investigation of sail aerodynamics. The symmetric rigid wing sails NACA 0020 and NACA 0016 are selected for use as the mainsail and trailing wing sail, respectively, after considering the operational environment of unmanned sailboats. The wing sail structure is modeled using SolidWorks, and computational fluid dynamics (CFD) simulations are conducted using ANSYS Fluent 2022R1 software to evaluate the aerodynamic performance of the sails. Key aerodynamic parameters, including lift, drag, lift coefficient, drag coefficient, and thrust coefficient, are obtained under different angles of attack. Furthermore, the effects of mainsail aspect ratios, mainsail taper ratios, and the positional relationship between the mainsail and trailing sail on performance are analyzed to determine the optimal structure. The thrust provided by the sail to the boat is mainly generated by the decomposition of lift, and the lift coefficient is used to measure the efficiency of an object in generating lift in the air. The proposed sail structure demonstrates a 37.1% improvement in the peak lift coefficient compared to traditional flexible sails and exhibits strong propulsion capability, indicating its potential for widespread application in the marine field.","container-title":"Mathematics","DOI":"10.3390/math12162481","ISSN":"2227-7390","issue":"16","journalAbbreviation":"Mathematics","language":"en","page":"2481","source":"DOI.org (Crossref)","title":"Aerodynamic Analysis of Rigid Wing Sail Based on CFD Simulation for the Design of High-Performance Unmanned Sailboats","volume":"12","author":[{"family":"Fang","given":"Shipeng"},{"family":"Tian","given":"Cunwei"},{"family":"Zhang","given":"Yuqi"},{"family":"Xu","given":"Changbin"},{"family":"Ding","given":"Tianci"},{"family":"Wang","given":"Huimin"},{"family":"Xia","given":"Tao"}],"issued":{"date-parts":[["2024",8,11]]}}}],"schema":"https://github.com/citation-style-language/schema/raw/master/csl-citation.json"} </w:instrText>
      </w:r>
      <w:r>
        <w:rPr>
          <w:rFonts w:eastAsia="Times New Roman" w:cs="Times New Roman"/>
          <w:kern w:val="0"/>
          <w14:ligatures w14:val="none"/>
        </w:rPr>
        <w:fldChar w:fldCharType="separate"/>
      </w:r>
      <w:r>
        <w:rPr>
          <w:rFonts w:cs="Times New Roman"/>
        </w:rPr>
        <w:t>[43]</w:t>
      </w:r>
      <w:r>
        <w:rPr>
          <w:rFonts w:eastAsia="Times New Roman" w:cs="Times New Roman"/>
          <w:kern w:val="0"/>
          <w14:ligatures w14:val="none"/>
        </w:rPr>
        <w:fldChar w:fldCharType="end"/>
      </w:r>
      <w:r>
        <w:rPr>
          <w:rFonts w:eastAsia="Times New Roman" w:cs="Times New Roman"/>
          <w:kern w:val="0"/>
          <w14:ligatures w14:val="none"/>
        </w:rPr>
        <w:t>.</w:t>
      </w:r>
    </w:p>
    <w:p w14:paraId="0129BA5B" w14:textId="698C7DA9" w:rsidR="004D1AA6" w:rsidRDefault="004940C6" w:rsidP="00FC5534">
      <w:pPr>
        <w:spacing w:before="100" w:beforeAutospacing="1" w:after="100" w:afterAutospacing="1" w:line="360" w:lineRule="auto"/>
        <w:jc w:val="both"/>
        <w:rPr>
          <w:rFonts w:eastAsia="Times New Roman" w:cs="Times New Roman"/>
          <w:kern w:val="0"/>
          <w14:ligatures w14:val="none"/>
        </w:rPr>
      </w:pPr>
      <w:r>
        <w:rPr>
          <w:noProof/>
        </w:rPr>
        <w:lastRenderedPageBreak/>
        <w:drawing>
          <wp:anchor distT="0" distB="0" distL="114300" distR="114300" simplePos="0" relativeHeight="251658269" behindDoc="1" locked="0" layoutInCell="1" allowOverlap="1" wp14:anchorId="136AECF6" wp14:editId="4DBDB840">
            <wp:simplePos x="0" y="0"/>
            <wp:positionH relativeFrom="margin">
              <wp:align>center</wp:align>
            </wp:positionH>
            <wp:positionV relativeFrom="paragraph">
              <wp:posOffset>317818</wp:posOffset>
            </wp:positionV>
            <wp:extent cx="4331335" cy="2433320"/>
            <wp:effectExtent l="0" t="0" r="0" b="5080"/>
            <wp:wrapTight wrapText="bothSides">
              <wp:wrapPolygon edited="0">
                <wp:start x="0" y="0"/>
                <wp:lineTo x="0" y="21476"/>
                <wp:lineTo x="21470" y="21476"/>
                <wp:lineTo x="21470" y="0"/>
                <wp:lineTo x="0" y="0"/>
              </wp:wrapPolygon>
            </wp:wrapTight>
            <wp:docPr id="1301492303" name="Εικόνα 14" descr="Berge Bulk unveils the world's most powerful sailing cargo ship - Berge Bu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rge Bulk unveils the world's most powerful sailing cargo ship - Berge Bulk"/>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31335" cy="24333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70" behindDoc="1" locked="0" layoutInCell="1" allowOverlap="1" wp14:anchorId="5B5DD32A" wp14:editId="243CD2F3">
                <wp:simplePos x="0" y="0"/>
                <wp:positionH relativeFrom="margin">
                  <wp:align>right</wp:align>
                </wp:positionH>
                <wp:positionV relativeFrom="paragraph">
                  <wp:posOffset>2946400</wp:posOffset>
                </wp:positionV>
                <wp:extent cx="5452745" cy="733425"/>
                <wp:effectExtent l="0" t="0" r="0" b="9525"/>
                <wp:wrapTight wrapText="bothSides">
                  <wp:wrapPolygon edited="0">
                    <wp:start x="0" y="0"/>
                    <wp:lineTo x="0" y="21319"/>
                    <wp:lineTo x="21507" y="21319"/>
                    <wp:lineTo x="21507" y="0"/>
                    <wp:lineTo x="0" y="0"/>
                  </wp:wrapPolygon>
                </wp:wrapTight>
                <wp:docPr id="991492505" name="Πλαίσιο κειμένου 1"/>
                <wp:cNvGraphicFramePr/>
                <a:graphic xmlns:a="http://schemas.openxmlformats.org/drawingml/2006/main">
                  <a:graphicData uri="http://schemas.microsoft.com/office/word/2010/wordprocessingShape">
                    <wps:wsp>
                      <wps:cNvSpPr txBox="1"/>
                      <wps:spPr>
                        <a:xfrm>
                          <a:off x="0" y="0"/>
                          <a:ext cx="5452745" cy="733425"/>
                        </a:xfrm>
                        <a:prstGeom prst="rect">
                          <a:avLst/>
                        </a:prstGeom>
                        <a:solidFill>
                          <a:prstClr val="white"/>
                        </a:solidFill>
                        <a:ln>
                          <a:noFill/>
                        </a:ln>
                      </wps:spPr>
                      <wps:txbx>
                        <w:txbxContent>
                          <w:p w14:paraId="14D1F643" w14:textId="7D28EC59" w:rsidR="000F4B32" w:rsidRPr="000F4B32" w:rsidRDefault="00F822A6" w:rsidP="004940C6">
                            <w:pPr>
                              <w:pStyle w:val="af2"/>
                              <w:jc w:val="both"/>
                              <w:rPr>
                                <w:b/>
                                <w:bCs/>
                                <w:noProof/>
                              </w:rPr>
                            </w:pPr>
                            <w:bookmarkStart w:id="103" w:name="_Toc243077693"/>
                            <w:bookmarkStart w:id="104" w:name="_Toc243355381"/>
                            <w:r>
                              <w:rPr>
                                <w:b/>
                                <w:bCs/>
                              </w:rPr>
                              <w:t>Εικόνα</w:t>
                            </w:r>
                            <w:r w:rsidR="000F4B32">
                              <w:rPr>
                                <w:b/>
                                <w:bCs/>
                              </w:rPr>
                              <w:t xml:space="preserve"> </w:t>
                            </w:r>
                            <w:r w:rsidR="000F4B32" w:rsidRPr="000F4B32">
                              <w:rPr>
                                <w:b/>
                                <w:bCs/>
                              </w:rPr>
                              <w:fldChar w:fldCharType="begin"/>
                            </w:r>
                            <w:r w:rsidR="000F4B32" w:rsidRPr="000F4B32">
                              <w:rPr>
                                <w:b/>
                                <w:bCs/>
                              </w:rPr>
                              <w:instrText xml:space="preserve"> SEQ Figure \* ARABIC </w:instrText>
                            </w:r>
                            <w:r w:rsidR="000F4B32" w:rsidRPr="000F4B32">
                              <w:rPr>
                                <w:b/>
                                <w:bCs/>
                              </w:rPr>
                              <w:fldChar w:fldCharType="separate"/>
                            </w:r>
                            <w:r w:rsidR="00B0043E">
                              <w:rPr>
                                <w:b/>
                                <w:bCs/>
                                <w:noProof/>
                              </w:rPr>
                              <w:t>16</w:t>
                            </w:r>
                            <w:r w:rsidR="000F4B32" w:rsidRPr="000F4B32">
                              <w:rPr>
                                <w:b/>
                                <w:bCs/>
                              </w:rPr>
                              <w:fldChar w:fldCharType="end"/>
                            </w:r>
                            <w:r w:rsidR="000F4B32">
                              <w:rPr>
                                <w:b/>
                                <w:bCs/>
                              </w:rPr>
                              <w:t>: Το πλοίο Newcastlemax Berge Olympus, 210</w:t>
                            </w:r>
                            <w:r w:rsidR="0042410A">
                              <w:rPr>
                                <w:b/>
                                <w:bCs/>
                              </w:rPr>
                              <w:t>.</w:t>
                            </w:r>
                            <w:r w:rsidR="000F4B32">
                              <w:rPr>
                                <w:b/>
                                <w:bCs/>
                              </w:rPr>
                              <w:t>000 DTW, μετασκευασμένο με 4 WindWings της BAR Technologies.</w:t>
                            </w:r>
                            <w:bookmarkEnd w:id="103"/>
                            <w:bookmarkEnd w:id="10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DD32A" id="_x0000_s1039" type="#_x0000_t202" style="position:absolute;left:0;text-align:left;margin-left:378.15pt;margin-top:232pt;width:429.35pt;height:57.75pt;z-index:-25165821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" stroked="f">
                <v:textbox inset="0,0,0,0">
                  <w:txbxContent>
                    <w:p w14:paraId="14D1F643" w14:textId="7D28EC59" w:rsidR="000F4B32" w:rsidRPr="000F4B32" w:rsidRDefault="00F822A6" w:rsidP="004940C6">
                      <w:pPr>
                        <w:pStyle w:val="af2"/>
                        <w:jc w:val="both"/>
                        <w:rPr>
                          <w:b/>
                          <w:bCs/>
                          <w:noProof/>
                        </w:rPr>
                      </w:pPr>
                      <w:bookmarkStart w:id="105" w:name="_Toc243077693"/>
                      <w:bookmarkStart w:id="106" w:name="_Toc243355381"/>
                      <w:r>
                        <w:rPr>
                          <w:b/>
                          <w:bCs/>
                        </w:rPr>
                        <w:t>Εικόνα</w:t>
                      </w:r>
                      <w:r w:rsidR="000F4B32">
                        <w:rPr>
                          <w:b/>
                          <w:bCs/>
                        </w:rPr>
                        <w:t xml:space="preserve"> </w:t>
                      </w:r>
                      <w:r w:rsidR="000F4B32" w:rsidRPr="000F4B32">
                        <w:rPr>
                          <w:b/>
                          <w:bCs/>
                        </w:rPr>
                        <w:fldChar w:fldCharType="begin"/>
                      </w:r>
                      <w:r w:rsidR="000F4B32" w:rsidRPr="000F4B32">
                        <w:rPr>
                          <w:b/>
                          <w:bCs/>
                        </w:rPr>
                        <w:instrText xml:space="preserve"> SEQ Figure \* ARABIC </w:instrText>
                      </w:r>
                      <w:r w:rsidR="000F4B32" w:rsidRPr="000F4B32">
                        <w:rPr>
                          <w:b/>
                          <w:bCs/>
                        </w:rPr>
                        <w:fldChar w:fldCharType="separate"/>
                      </w:r>
                      <w:r w:rsidR="00B0043E">
                        <w:rPr>
                          <w:b/>
                          <w:bCs/>
                          <w:noProof/>
                        </w:rPr>
                        <w:t>16</w:t>
                      </w:r>
                      <w:r w:rsidR="000F4B32" w:rsidRPr="000F4B32">
                        <w:rPr>
                          <w:b/>
                          <w:bCs/>
                        </w:rPr>
                        <w:fldChar w:fldCharType="end"/>
                      </w:r>
                      <w:r w:rsidR="000F4B32">
                        <w:rPr>
                          <w:b/>
                          <w:bCs/>
                        </w:rPr>
                        <w:t>: Το πλοίο Newcastlemax Berge Olympus, 210</w:t>
                      </w:r>
                      <w:r w:rsidR="0042410A">
                        <w:rPr>
                          <w:b/>
                          <w:bCs/>
                        </w:rPr>
                        <w:t>.</w:t>
                      </w:r>
                      <w:r w:rsidR="000F4B32">
                        <w:rPr>
                          <w:b/>
                          <w:bCs/>
                        </w:rPr>
                        <w:t>000 DTW, μετασκευασμένο με 4 WindWings της BAR Technologies.</w:t>
                      </w:r>
                      <w:bookmarkEnd w:id="105"/>
                      <w:bookmarkEnd w:id="106"/>
                    </w:p>
                  </w:txbxContent>
                </v:textbox>
                <w10:wrap type="tight" anchorx="margin"/>
              </v:shape>
            </w:pict>
          </mc:Fallback>
        </mc:AlternateContent>
      </w:r>
    </w:p>
    <w:p w14:paraId="38DEDCFF" w14:textId="77777777" w:rsidR="00FC5534" w:rsidRDefault="00FC5534" w:rsidP="00FC5534">
      <w:pPr>
        <w:pStyle w:val="30"/>
      </w:pPr>
      <w:bookmarkStart w:id="107" w:name="_Toc243355286"/>
      <w:r>
        <w:t>Ιστία-χαρταετοί (</w:t>
      </w:r>
      <w:proofErr w:type="spellStart"/>
      <w:r>
        <w:t>kite</w:t>
      </w:r>
      <w:proofErr w:type="spellEnd"/>
      <w:r>
        <w:t xml:space="preserve"> </w:t>
      </w:r>
      <w:proofErr w:type="spellStart"/>
      <w:r>
        <w:t>sails</w:t>
      </w:r>
      <w:proofErr w:type="spellEnd"/>
      <w:r>
        <w:t>)</w:t>
      </w:r>
      <w:bookmarkEnd w:id="107"/>
    </w:p>
    <w:p w14:paraId="58D0F55C" w14:textId="11831400" w:rsidR="00026E92" w:rsidRDefault="009463FF" w:rsidP="004940C6">
      <w:pPr>
        <w:pStyle w:val="11114"/>
        <w:spacing w:line="360" w:lineRule="auto"/>
        <w:ind w:firstLine="576"/>
        <w:jc w:val="both"/>
        <w:rPr>
          <w:rFonts w:eastAsia="Times New Roman" w:cs="Times New Roman"/>
          <w:kern w:val="0"/>
          <w14:ligatures w14:val="none"/>
        </w:rPr>
      </w:pPr>
      <w:r>
        <w:rPr>
          <w:rFonts w:eastAsia="Times New Roman" w:cs="Times New Roman"/>
          <w:kern w:val="0"/>
          <w14:ligatures w14:val="none"/>
        </w:rPr>
        <w:t>Παρά τη διαθεσιμότητα διαφόρων τεχνολογιών αιολικής υποβοήθησης της πρόωσης, η χρήση ιστίων-χαρταετών στην εμπορική ναυτιλία παραμένει σχετικά περιορισμένη. Ανάλογα με το μέγεθος του πλοίου, τα ιστία-χαρταετοί έχουν συνήθως επιφάνεια από 100 έως 1</w:t>
      </w:r>
      <w:r w:rsidR="00AE5150">
        <w:rPr>
          <w:rFonts w:eastAsia="Times New Roman" w:cs="Times New Roman"/>
          <w:kern w:val="0"/>
          <w14:ligatures w14:val="none"/>
        </w:rPr>
        <w:t>.</w:t>
      </w:r>
      <w:r>
        <w:rPr>
          <w:rFonts w:eastAsia="Times New Roman" w:cs="Times New Roman"/>
          <w:kern w:val="0"/>
          <w14:ligatures w14:val="none"/>
        </w:rPr>
        <w:t>000 m² και λειτουργούν σε ύψη έως 400 m, όπου οι ταχύτητες του ανέμου είναι υψηλότερες και σταθερότερες λόγω της μειωμένης τριβής με την επιφάνεια</w:t>
      </w:r>
      <w:r w:rsidR="00AE5150">
        <w:rPr>
          <w:rFonts w:eastAsia="Times New Roman" w:cs="Times New Roman"/>
          <w:kern w:val="0"/>
          <w14:ligatures w14:val="none"/>
        </w:rPr>
        <w:t xml:space="preserve"> της θάλασσας</w:t>
      </w:r>
      <w:r>
        <w:rPr>
          <w:rFonts w:eastAsia="Times New Roman" w:cs="Times New Roman"/>
          <w:kern w:val="0"/>
          <w14:ligatures w14:val="none"/>
        </w:rPr>
        <w:t xml:space="preserve">. Το σύστημα πρόωσης με χαρταετό ελέγχεται από τη γέφυρα του πλοίου μέσω ειδικής μονάδας ελέγχου. Ο χαρταετός συνδέεται με το πλοίο μέσω ενός τεντωμένου καλωδίου πρόσδεσης και, κατά τη λειτουργία, ελέγχεται από ενσωματωμένο σύστημα αυτόματου πιλότου, το οποίο βελτιστοποιεί συνεχώς την τροχιά πτήσης του ώστε να μεγιστοποιείται η προωστική δύναμη. Τόσο η απελευθέρωση όσο και η ανάκτηση του χαρταετού είναι σε μεγάλο βαθμό αυτοματοποιημένες και απαιτούν ελάχιστη παρέμβαση από το πλήρωμα. </w:t>
      </w:r>
      <w:r>
        <w:rPr>
          <w:rFonts w:eastAsia="Times New Roman"/>
          <w:kern w:val="0"/>
          <w14:ligatures w14:val="none"/>
        </w:rPr>
        <w:t xml:space="preserve">Κατ’ αρχήν, το σύστημα λειτουργεί με τρόπο παρόμοιο με τον χαρταετό του </w:t>
      </w:r>
      <w:proofErr w:type="spellStart"/>
      <w:r>
        <w:rPr>
          <w:rFonts w:eastAsia="Times New Roman"/>
          <w:kern w:val="0"/>
          <w14:ligatures w14:val="none"/>
        </w:rPr>
        <w:t>kiteboarding</w:t>
      </w:r>
      <w:proofErr w:type="spellEnd"/>
      <w:r>
        <w:rPr>
          <w:rFonts w:eastAsia="Times New Roman"/>
          <w:kern w:val="0"/>
          <w14:ligatures w14:val="none"/>
        </w:rPr>
        <w:t xml:space="preserve">, με τη διαφορά ότι η παραγόμενη αεροδυναμική δύναμη χρησιμοποιείται για την πρόωση ενός πλοίου αντί ενός ατόμου. </w:t>
      </w:r>
      <w:r>
        <w:rPr>
          <w:rFonts w:eastAsia="Times New Roman" w:cs="Times New Roman"/>
          <w:kern w:val="0"/>
          <w14:ligatures w14:val="none"/>
        </w:rPr>
        <w:t xml:space="preserve">Υπό ευνοϊκές συνθήκες ανέμου, ορισμένα συστήματα χαρταετού μπορούν να παρέχουν ώση ισοδύναμη με περίπου 2 MW ισχύος της κύριας μηχανής </w:t>
      </w:r>
      <w:r w:rsidR="00CF4EBF">
        <w:rPr>
          <w:rFonts w:eastAsia="Times New Roman" w:cs="Times New Roman"/>
          <w:kern w:val="0"/>
          <w14:ligatures w14:val="none"/>
        </w:rPr>
        <w:fldChar w:fldCharType="begin"/>
      </w:r>
      <w:r w:rsidR="00CF4EBF">
        <w:rPr>
          <w:rFonts w:eastAsia="Times New Roman" w:cs="Times New Roman"/>
          <w:kern w:val="0"/>
          <w14:ligatures w14:val="none"/>
        </w:rPr>
        <w:instrText xml:space="preserve"> ADDIN ZOTERO_ITEM CSL_CITATION {"citationID":"4vT8gg0E","properties":{"unsorted":false,"formattedCitation":"[44]","plainCitation":"[44]","noteIndex":0},"citationItems":[{"id":135,"uris":["http://zotero.org/users/19904160/items/2T2GGDUK"],"itemData":{"id":135,"type":"webpage","abstract":"SkySails is the pioneer of wind-assisted ship propulsion systems based on kites. The technology was successfully proven on board of sea-going vessels.","container-title":"SkySails Marine","language":"de-DE","title":"Home","URL":"https://skysails-marine.com/","accessed":{"date-parts":[["2026",7,9]]}}}],"schema":"https://github.com/citation-style-language/schema/raw/master/csl-citation.json"} </w:instrText>
      </w:r>
      <w:r w:rsidR="00CF4EBF">
        <w:rPr>
          <w:rFonts w:eastAsia="Times New Roman" w:cs="Times New Roman"/>
          <w:kern w:val="0"/>
          <w14:ligatures w14:val="none"/>
        </w:rPr>
        <w:fldChar w:fldCharType="separate"/>
      </w:r>
      <w:r w:rsidR="00CF4EBF">
        <w:rPr>
          <w:rFonts w:cs="Times New Roman"/>
        </w:rPr>
        <w:t>[44]</w:t>
      </w:r>
      <w:r w:rsidR="00CF4EBF">
        <w:rPr>
          <w:rFonts w:eastAsia="Times New Roman" w:cs="Times New Roman"/>
          <w:kern w:val="0"/>
          <w14:ligatures w14:val="none"/>
        </w:rPr>
        <w:fldChar w:fldCharType="end"/>
      </w:r>
      <w:r>
        <w:rPr>
          <w:rFonts w:eastAsia="Times New Roman" w:cs="Times New Roman"/>
          <w:kern w:val="0"/>
          <w14:ligatures w14:val="none"/>
        </w:rPr>
        <w:t>.</w:t>
      </w:r>
    </w:p>
    <w:p w14:paraId="63619DBE" w14:textId="6CA30316" w:rsidR="00361BBC" w:rsidRDefault="00432D28" w:rsidP="00BC6A34">
      <w:pPr>
        <w:pStyle w:val="11114"/>
        <w:spacing w:line="360" w:lineRule="auto"/>
        <w:jc w:val="both"/>
        <w:rPr>
          <w:rFonts w:eastAsia="Times New Roman" w:cs="Times New Roman"/>
          <w:kern w:val="0"/>
          <w14:ligatures w14:val="none"/>
        </w:rPr>
      </w:pPr>
      <w:r>
        <w:rPr>
          <w:noProof/>
        </w:rPr>
        <w:lastRenderedPageBreak/>
        <w:drawing>
          <wp:anchor distT="0" distB="0" distL="114300" distR="114300" simplePos="0" relativeHeight="251658271" behindDoc="1" locked="0" layoutInCell="1" allowOverlap="1" wp14:anchorId="6B7C0C46" wp14:editId="757F698A">
            <wp:simplePos x="0" y="0"/>
            <wp:positionH relativeFrom="margin">
              <wp:align>center</wp:align>
            </wp:positionH>
            <wp:positionV relativeFrom="paragraph">
              <wp:posOffset>77152</wp:posOffset>
            </wp:positionV>
            <wp:extent cx="3073400" cy="1729105"/>
            <wp:effectExtent l="0" t="0" r="0" b="4445"/>
            <wp:wrapTight wrapText="bothSides">
              <wp:wrapPolygon edited="0">
                <wp:start x="0" y="0"/>
                <wp:lineTo x="0" y="21418"/>
                <wp:lineTo x="21421" y="21418"/>
                <wp:lineTo x="21421" y="0"/>
                <wp:lineTo x="0" y="0"/>
              </wp:wrapPolygon>
            </wp:wrapTight>
            <wp:docPr id="341399572" name="Εικόνα 15" descr="Kite Seawing auf der Ville de Bordeaux: Der Kite wird automatisch gestartet. (Bild: Airs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te Seawing auf der Ville de Bordeaux: Der Kite wird automatisch gestartet. (Bild: Airsea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73400" cy="17291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ED5B44" w14:textId="77777777" w:rsidR="009463FF" w:rsidRDefault="009463FF" w:rsidP="00BC6A34">
      <w:pPr>
        <w:pStyle w:val="11114"/>
        <w:spacing w:line="360" w:lineRule="auto"/>
        <w:jc w:val="both"/>
        <w:rPr>
          <w:rFonts w:eastAsia="Times New Roman" w:cs="Times New Roman"/>
          <w:kern w:val="0"/>
          <w14:ligatures w14:val="none"/>
        </w:rPr>
      </w:pPr>
    </w:p>
    <w:p w14:paraId="7778D048" w14:textId="77777777" w:rsidR="00432D28" w:rsidRDefault="00432D28" w:rsidP="00BC6A34">
      <w:pPr>
        <w:pStyle w:val="11114"/>
        <w:spacing w:line="360" w:lineRule="auto"/>
        <w:jc w:val="both"/>
        <w:rPr>
          <w:rFonts w:eastAsia="Times New Roman" w:cs="Times New Roman"/>
          <w:kern w:val="0"/>
          <w14:ligatures w14:val="none"/>
        </w:rPr>
      </w:pPr>
    </w:p>
    <w:p w14:paraId="56D2FFFE" w14:textId="3D260ACB" w:rsidR="009463FF" w:rsidRDefault="009463FF" w:rsidP="00BC6A34">
      <w:pPr>
        <w:pStyle w:val="11114"/>
        <w:spacing w:line="360" w:lineRule="auto"/>
        <w:jc w:val="both"/>
        <w:rPr>
          <w:rFonts w:eastAsia="Times New Roman" w:cs="Times New Roman"/>
          <w:kern w:val="0"/>
          <w14:ligatures w14:val="none"/>
        </w:rPr>
      </w:pPr>
      <w:r>
        <w:rPr>
          <w:noProof/>
        </w:rPr>
        <mc:AlternateContent>
          <mc:Choice Requires="wps">
            <w:drawing>
              <wp:anchor distT="0" distB="0" distL="114300" distR="114300" simplePos="0" relativeHeight="251658272" behindDoc="1" locked="0" layoutInCell="1" allowOverlap="1" wp14:anchorId="088EBA4B" wp14:editId="089BF354">
                <wp:simplePos x="0" y="0"/>
                <wp:positionH relativeFrom="margin">
                  <wp:align>center</wp:align>
                </wp:positionH>
                <wp:positionV relativeFrom="paragraph">
                  <wp:posOffset>826770</wp:posOffset>
                </wp:positionV>
                <wp:extent cx="4819650" cy="480695"/>
                <wp:effectExtent l="0" t="0" r="0" b="0"/>
                <wp:wrapTight wrapText="bothSides">
                  <wp:wrapPolygon edited="0">
                    <wp:start x="0" y="0"/>
                    <wp:lineTo x="0" y="20544"/>
                    <wp:lineTo x="21515" y="20544"/>
                    <wp:lineTo x="21515" y="0"/>
                    <wp:lineTo x="0" y="0"/>
                  </wp:wrapPolygon>
                </wp:wrapTight>
                <wp:docPr id="501560213" name="Πλαίσιο κειμένου 1"/>
                <wp:cNvGraphicFramePr/>
                <a:graphic xmlns:a="http://schemas.openxmlformats.org/drawingml/2006/main">
                  <a:graphicData uri="http://schemas.microsoft.com/office/word/2010/wordprocessingShape">
                    <wps:wsp>
                      <wps:cNvSpPr txBox="1"/>
                      <wps:spPr>
                        <a:xfrm>
                          <a:off x="0" y="0"/>
                          <a:ext cx="4819650" cy="480695"/>
                        </a:xfrm>
                        <a:prstGeom prst="rect">
                          <a:avLst/>
                        </a:prstGeom>
                        <a:solidFill>
                          <a:prstClr val="white"/>
                        </a:solidFill>
                        <a:ln>
                          <a:noFill/>
                        </a:ln>
                      </wps:spPr>
                      <wps:txbx>
                        <w:txbxContent>
                          <w:p w14:paraId="36EF5E5E" w14:textId="2B0E69B0" w:rsidR="009463FF" w:rsidRPr="009463FF" w:rsidRDefault="00F822A6" w:rsidP="009463FF">
                            <w:pPr>
                              <w:pStyle w:val="af2"/>
                              <w:rPr>
                                <w:b/>
                                <w:bCs/>
                                <w:noProof/>
                              </w:rPr>
                            </w:pPr>
                            <w:bookmarkStart w:id="108" w:name="_Toc243077694"/>
                            <w:bookmarkStart w:id="109" w:name="_Toc243355382"/>
                            <w:r>
                              <w:rPr>
                                <w:b/>
                                <w:bCs/>
                              </w:rPr>
                              <w:t>Εικόνα</w:t>
                            </w:r>
                            <w:r w:rsidR="009463FF">
                              <w:rPr>
                                <w:b/>
                                <w:bCs/>
                              </w:rPr>
                              <w:t xml:space="preserve"> </w:t>
                            </w:r>
                            <w:r w:rsidR="009463FF" w:rsidRPr="009463FF">
                              <w:rPr>
                                <w:b/>
                                <w:bCs/>
                              </w:rPr>
                              <w:fldChar w:fldCharType="begin"/>
                            </w:r>
                            <w:r w:rsidR="009463FF" w:rsidRPr="009463FF">
                              <w:rPr>
                                <w:b/>
                                <w:bCs/>
                              </w:rPr>
                              <w:instrText xml:space="preserve"> SEQ Figure \* ARABIC </w:instrText>
                            </w:r>
                            <w:r w:rsidR="009463FF" w:rsidRPr="009463FF">
                              <w:rPr>
                                <w:b/>
                                <w:bCs/>
                              </w:rPr>
                              <w:fldChar w:fldCharType="separate"/>
                            </w:r>
                            <w:r w:rsidR="00B0043E">
                              <w:rPr>
                                <w:b/>
                                <w:bCs/>
                                <w:noProof/>
                              </w:rPr>
                              <w:t>17</w:t>
                            </w:r>
                            <w:r w:rsidR="009463FF" w:rsidRPr="009463FF">
                              <w:rPr>
                                <w:b/>
                                <w:bCs/>
                              </w:rPr>
                              <w:fldChar w:fldCharType="end"/>
                            </w:r>
                            <w:r w:rsidR="009463FF">
                              <w:rPr>
                                <w:b/>
                                <w:bCs/>
                              </w:rPr>
                              <w:t>: Το πλοίο Ro/Ro Ville de Bordeaux, 5</w:t>
                            </w:r>
                            <w:r w:rsidR="0042410A">
                              <w:rPr>
                                <w:b/>
                                <w:bCs/>
                              </w:rPr>
                              <w:t>.</w:t>
                            </w:r>
                            <w:r w:rsidR="009463FF">
                              <w:rPr>
                                <w:b/>
                                <w:bCs/>
                              </w:rPr>
                              <w:t>200 DWT, εξοπλισμένο με χαρταετό Seawing 250 m</w:t>
                            </w:r>
                            <w:r w:rsidR="009463FF">
                              <w:rPr>
                                <w:b/>
                                <w:bCs/>
                                <w:vertAlign w:val="superscript"/>
                              </w:rPr>
                              <w:t>2</w:t>
                            </w:r>
                            <w:r w:rsidR="009463FF">
                              <w:rPr>
                                <w:b/>
                                <w:bCs/>
                              </w:rPr>
                              <w:t>.</w:t>
                            </w:r>
                            <w:bookmarkEnd w:id="108"/>
                            <w:bookmarkEnd w:id="10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8EBA4B" id="_x0000_s1040" type="#_x0000_t202" style="position:absolute;left:0;text-align:left;margin-left:0;margin-top:65.1pt;width:379.5pt;height:37.85pt;z-index:-2516582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" stroked="f">
                <v:textbox inset="0,0,0,0">
                  <w:txbxContent>
                    <w:p w14:paraId="36EF5E5E" w14:textId="2B0E69B0" w:rsidR="009463FF" w:rsidRPr="009463FF" w:rsidRDefault="00F822A6" w:rsidP="009463FF">
                      <w:pPr>
                        <w:pStyle w:val="af2"/>
                        <w:rPr>
                          <w:b/>
                          <w:bCs/>
                          <w:noProof/>
                        </w:rPr>
                      </w:pPr>
                      <w:bookmarkStart w:id="110" w:name="_Toc243077694"/>
                      <w:bookmarkStart w:id="111" w:name="_Toc243355382"/>
                      <w:r>
                        <w:rPr>
                          <w:b/>
                          <w:bCs/>
                        </w:rPr>
                        <w:t>Εικόνα</w:t>
                      </w:r>
                      <w:r w:rsidR="009463FF">
                        <w:rPr>
                          <w:b/>
                          <w:bCs/>
                        </w:rPr>
                        <w:t xml:space="preserve"> </w:t>
                      </w:r>
                      <w:r w:rsidR="009463FF" w:rsidRPr="009463FF">
                        <w:rPr>
                          <w:b/>
                          <w:bCs/>
                        </w:rPr>
                        <w:fldChar w:fldCharType="begin"/>
                      </w:r>
                      <w:r w:rsidR="009463FF" w:rsidRPr="009463FF">
                        <w:rPr>
                          <w:b/>
                          <w:bCs/>
                        </w:rPr>
                        <w:instrText xml:space="preserve"> SEQ Figure \* ARABIC </w:instrText>
                      </w:r>
                      <w:r w:rsidR="009463FF" w:rsidRPr="009463FF">
                        <w:rPr>
                          <w:b/>
                          <w:bCs/>
                        </w:rPr>
                        <w:fldChar w:fldCharType="separate"/>
                      </w:r>
                      <w:r w:rsidR="00B0043E">
                        <w:rPr>
                          <w:b/>
                          <w:bCs/>
                          <w:noProof/>
                        </w:rPr>
                        <w:t>17</w:t>
                      </w:r>
                      <w:r w:rsidR="009463FF" w:rsidRPr="009463FF">
                        <w:rPr>
                          <w:b/>
                          <w:bCs/>
                        </w:rPr>
                        <w:fldChar w:fldCharType="end"/>
                      </w:r>
                      <w:r w:rsidR="009463FF">
                        <w:rPr>
                          <w:b/>
                          <w:bCs/>
                        </w:rPr>
                        <w:t>: Το πλοίο Ro/Ro Ville de Bordeaux, 5</w:t>
                      </w:r>
                      <w:r w:rsidR="0042410A">
                        <w:rPr>
                          <w:b/>
                          <w:bCs/>
                        </w:rPr>
                        <w:t>.</w:t>
                      </w:r>
                      <w:r w:rsidR="009463FF">
                        <w:rPr>
                          <w:b/>
                          <w:bCs/>
                        </w:rPr>
                        <w:t>200 DWT, εξοπλισμένο με χαρταετό Seawing 250 m</w:t>
                      </w:r>
                      <w:r w:rsidR="009463FF">
                        <w:rPr>
                          <w:b/>
                          <w:bCs/>
                          <w:vertAlign w:val="superscript"/>
                        </w:rPr>
                        <w:t>2</w:t>
                      </w:r>
                      <w:r w:rsidR="009463FF">
                        <w:rPr>
                          <w:b/>
                          <w:bCs/>
                        </w:rPr>
                        <w:t>.</w:t>
                      </w:r>
                      <w:bookmarkEnd w:id="110"/>
                      <w:bookmarkEnd w:id="111"/>
                    </w:p>
                  </w:txbxContent>
                </v:textbox>
                <w10:wrap type="tight" anchorx="margin"/>
              </v:shape>
            </w:pict>
          </mc:Fallback>
        </mc:AlternateContent>
      </w:r>
    </w:p>
    <w:p w14:paraId="77B38744" w14:textId="77777777" w:rsidR="003D76C3" w:rsidRDefault="008922BB" w:rsidP="008922BB">
      <w:pPr>
        <w:pStyle w:val="20"/>
      </w:pPr>
      <w:bookmarkStart w:id="112" w:name="_Toc243355287"/>
      <w:r>
        <w:t>Παράγοντες που επηρεάζουν την επίδοση των WAPS</w:t>
      </w:r>
      <w:bookmarkEnd w:id="112"/>
    </w:p>
    <w:p w14:paraId="3D592D4B" w14:textId="77777777" w:rsidR="008922BB" w:rsidRPr="0011309D" w:rsidRDefault="008922BB" w:rsidP="008922BB">
      <w:pPr>
        <w:pStyle w:val="30"/>
      </w:pPr>
      <w:bookmarkStart w:id="113" w:name="_Toc243355288"/>
      <w:r>
        <w:t>Συνθήκες ανέμου</w:t>
      </w:r>
      <w:bookmarkEnd w:id="113"/>
    </w:p>
    <w:p w14:paraId="212B7E2D" w14:textId="3714C0C9" w:rsidR="00BF5124" w:rsidRDefault="003C7DFB">
      <w:pPr>
        <w:spacing w:line="360" w:lineRule="auto"/>
        <w:ind w:firstLine="576"/>
        <w:jc w:val="both"/>
      </w:pPr>
      <w:r>
        <w:t>Η επίδοση κάθε συστήματος αιολικής υποβοήθησης της πρόωσης καθορίζεται κατά κύριο λόγο από τις συνθήκες ανέμου που συναντά το πλοίο κατά μήκος της διαδρομής του, δηλαδή από την ταχύτητα και τη διεύθυνση του ανέμου και από τον συνδυασμό τους με την ταχύτητα και την πορεία του ίδιου του πλοίου, ο οποίος διαμορφώνει τον φαινόμενο άνεμο. Επειδή τα WAPS αντλούν προωστική δύναμη από τον φαινόμενο και όχι από τον πραγματικό άνεμο, η αεροδυναμική ώση που αποδίδει ένα ιστίο-</w:t>
      </w:r>
      <w:proofErr w:type="spellStart"/>
      <w:r>
        <w:t>ρότορας</w:t>
      </w:r>
      <w:proofErr w:type="spellEnd"/>
      <w:r>
        <w:t>, μια πτέρυγα αναρρόφησης, ένα άκαμπτο ιστίο ή ένας χαρταετός εξαρτάται σε μεγάλο βαθμό από τη γωνία και το μέτρο του φαινόμενου ανέμου, τα οποία μεταβάλλονται συνεχώς καθώς το πλοίο εκτελεί ελιγμούς και καθώς εξελίσσονται τα καιρικά συστήματα κατά τη διάρκεια του ταξιδιού [</w:t>
      </w:r>
      <w:r>
        <w:fldChar w:fldCharType="begin"/>
      </w:r>
      <w:r>
        <w:instrText xml:space="preserve"> REF _Ref_cit_7 \h \* MERGEFORMAT </w:instrText>
      </w:r>
      <w:r>
        <w:fldChar w:fldCharType="separate"/>
      </w:r>
      <w:r w:rsidR="00B0043E" w:rsidRPr="00B0043E">
        <w:t>7</w:t>
      </w:r>
      <w:r>
        <w:fldChar w:fldCharType="end"/>
      </w:r>
      <w:r>
        <w:t>]. Οι υψηλότερες ταχύτητες πραγματικού ανέμου αυξάνουν γενικά την ώση που παράγουν τα WAPS· ωστόσο, συνοδεύονται συχνά από δυσμενέστερη κατάσταση θάλασσας, η οποία αυξάνει την αντίσταση της γάστρας και μπορεί να αντισταθμίσει εν μέρει το προωστικό όφελος των ιστίων [</w:t>
      </w:r>
      <w:r>
        <w:fldChar w:fldCharType="begin"/>
      </w:r>
      <w:r>
        <w:instrText xml:space="preserve"> REF _Ref_cit_7 \h \* MERGEFORMAT </w:instrText>
      </w:r>
      <w:r>
        <w:fldChar w:fldCharType="separate"/>
      </w:r>
      <w:r w:rsidR="00B0043E" w:rsidRPr="00B0043E">
        <w:t>7</w:t>
      </w:r>
      <w:r>
        <w:fldChar w:fldCharType="end"/>
      </w:r>
      <w:r>
        <w:t xml:space="preserve">]. Γενικά, τα WAPS επιτυγχάνουν την υψηλότερη απόδοσή τους με πλευρικό άνεμο και με άνεμο από το πρυμναίο τεταρτημόριο, όπου η γωνία του φαινόμενου ανέμου επιτρέπει στις αεροδυναμικές διατάξεις να παράγουν σημαντική ώση μέσω </w:t>
      </w:r>
      <w:proofErr w:type="spellStart"/>
      <w:r>
        <w:t>άντωσης</w:t>
      </w:r>
      <w:proofErr w:type="spellEnd"/>
      <w:r>
        <w:t>, ενώ η επίδοση υποβαθμίζεται σημαντικά με αντίθετο άνεμο και σε συνθήκες σχεδόν άπνοιας, οπότε σε ορισμένες περιπτώσεις</w:t>
      </w:r>
      <w:r w:rsidR="008C3514">
        <w:t>,</w:t>
      </w:r>
      <w:r>
        <w:t xml:space="preserve"> οι διατάξεις πρέπει να τεθούν σε θέση ελάχιστης αντίστασης, να αναδιπλωθούν ή να τεθούν πλήρως εκτός λειτουργίας,</w:t>
      </w:r>
      <w:r w:rsidR="00927192">
        <w:t xml:space="preserve"> όπως με υπερβολικά δυνατό άνεμο,</w:t>
      </w:r>
      <w:r>
        <w:t xml:space="preserve"> </w:t>
      </w:r>
      <w:r w:rsidR="004C6EFE" w:rsidRPr="004C6EFE">
        <w:t>με σκοπό τον περιορισμό των αεροδυναμικών απωλειών και την προστασία των συγκεκριμένων διατάξεων από πιθανές ζημιές</w:t>
      </w:r>
      <w:r>
        <w:t xml:space="preserve"> [</w:t>
      </w:r>
      <w:r>
        <w:fldChar w:fldCharType="begin"/>
      </w:r>
      <w:r>
        <w:instrText xml:space="preserve"> REF _Ref_cit_39 \h \* MERGEFORMAT </w:instrText>
      </w:r>
      <w:r>
        <w:fldChar w:fldCharType="separate"/>
      </w:r>
      <w:r w:rsidR="00B0043E" w:rsidRPr="00B0043E">
        <w:t>39</w:t>
      </w:r>
      <w:r>
        <w:fldChar w:fldCharType="end"/>
      </w:r>
      <w:r>
        <w:t>], [</w:t>
      </w:r>
      <w:r>
        <w:fldChar w:fldCharType="begin"/>
      </w:r>
      <w:r>
        <w:instrText xml:space="preserve"> REF _Ref_cit_40 \h \* MERGEFORMAT </w:instrText>
      </w:r>
      <w:r>
        <w:fldChar w:fldCharType="separate"/>
      </w:r>
      <w:r w:rsidR="00B0043E" w:rsidRPr="00B0043E">
        <w:t>40</w:t>
      </w:r>
      <w:r>
        <w:fldChar w:fldCharType="end"/>
      </w:r>
      <w:r>
        <w:t>].</w:t>
      </w:r>
    </w:p>
    <w:p w14:paraId="1C94355A" w14:textId="0970E85E" w:rsidR="00BF5124" w:rsidRDefault="003C7DFB">
      <w:pPr>
        <w:spacing w:line="360" w:lineRule="auto"/>
        <w:ind w:firstLine="576"/>
        <w:jc w:val="both"/>
      </w:pPr>
      <w:r>
        <w:lastRenderedPageBreak/>
        <w:t xml:space="preserve">Επειδή οι ευνοϊκές συνθήκες ανέμου κατανέμονται άνισα μεταξύ των ναυτιλιακών διαδρομών, το δυναμικό εξοικονόμησης καυσίμου των WAPS διαφέρει σημαντικά ανά εμπορική οδό και ανά εποχή. Οι διαδρομές που διασχίζουν τακτικά ζώνες σταθερών ανέμων μπορούν να επιτύχουν εξοικονόμηση καυσίμου σημαντικά πάνω από το τυπικό εύρος, ενώ οι διαδρομές όπου επικρατούν μεταβλητοί ή αντίθετοι άνεμοι ενδέχεται να αποφέρουν μόνο οριακό όφελος. Για τον λόγο αυτό, ο σχεδιασμός ταξιδιών με βάση τις μετεωρολογικές προγνώσεις και η βελτιστοποίηση της πορείας θεωρούνται όλο και περισσότερο απαραίτητα συμπληρώματα του εξοπλισμού WAPS, καθώς επιτρέπουν στους διαχειριστές να αξιοποιούν </w:t>
      </w:r>
      <w:r w:rsidR="00D936B2">
        <w:t xml:space="preserve">μέρη με </w:t>
      </w:r>
      <w:r>
        <w:t>ευνοϊκ</w:t>
      </w:r>
      <w:r w:rsidR="00D936B2">
        <w:t>ό</w:t>
      </w:r>
      <w:r>
        <w:t xml:space="preserve"> </w:t>
      </w:r>
      <w:r w:rsidR="00D936B2">
        <w:t>ά</w:t>
      </w:r>
      <w:r>
        <w:t>ν</w:t>
      </w:r>
      <w:r w:rsidR="00D936B2">
        <w:t>ε</w:t>
      </w:r>
      <w:r>
        <w:t xml:space="preserve">μο και να εκτιμούν </w:t>
      </w:r>
      <w:proofErr w:type="spellStart"/>
      <w:r>
        <w:t>αξιοπιστότερα</w:t>
      </w:r>
      <w:proofErr w:type="spellEnd"/>
      <w:r>
        <w:t xml:space="preserve"> την αναμενόμενη εξοικονόμηση πριν δεσμευτούν σε μια εγκατάσταση</w:t>
      </w:r>
      <w:r w:rsidR="0031159F">
        <w:t xml:space="preserve"> κάποιας τεχνολογίας</w:t>
      </w:r>
      <w:r>
        <w:t xml:space="preserve"> [</w:t>
      </w:r>
      <w:r>
        <w:fldChar w:fldCharType="begin"/>
      </w:r>
      <w:r>
        <w:instrText xml:space="preserve"> REF _Ref_cit_7 \h \* MERGEFORMAT </w:instrText>
      </w:r>
      <w:r>
        <w:fldChar w:fldCharType="separate"/>
      </w:r>
      <w:r w:rsidR="00B0043E" w:rsidRPr="00B0043E">
        <w:t>7</w:t>
      </w:r>
      <w:r>
        <w:fldChar w:fldCharType="end"/>
      </w:r>
      <w:r>
        <w:t>], [</w:t>
      </w:r>
      <w:r>
        <w:fldChar w:fldCharType="begin"/>
      </w:r>
      <w:r>
        <w:instrText xml:space="preserve"> REF _Ref_cit_36 \h \* MERGEFORMAT </w:instrText>
      </w:r>
      <w:r>
        <w:fldChar w:fldCharType="separate"/>
      </w:r>
      <w:r w:rsidR="00B0043E" w:rsidRPr="00B0043E">
        <w:t>36</w:t>
      </w:r>
      <w:r>
        <w:fldChar w:fldCharType="end"/>
      </w:r>
      <w:r>
        <w:t xml:space="preserve">]. Κατά συνέπεια, η αναφερόμενη εξοικονόμηση καυσίμου από εγκατεστημένα συστήματα καλύπτει ευρύ φάσμα, από λίγες ποσοστιαίες μονάδες </w:t>
      </w:r>
      <w:r w:rsidR="00500173" w:rsidRPr="00500173">
        <w:t xml:space="preserve">σε διαδρομές με </w:t>
      </w:r>
      <w:proofErr w:type="spellStart"/>
      <w:r w:rsidR="00500173" w:rsidRPr="00500173">
        <w:t>ανεμολογικές</w:t>
      </w:r>
      <w:proofErr w:type="spellEnd"/>
      <w:r w:rsidR="00500173" w:rsidRPr="00500173">
        <w:t xml:space="preserve"> συνθήκες που περιορίζουν την απόδοση των συστημάτων</w:t>
      </w:r>
      <w:r w:rsidR="00500173">
        <w:t>,</w:t>
      </w:r>
      <w:r>
        <w:t xml:space="preserve"> έως 25% ή και περισσότερο σε διαδρομές με σταθερά ευνοϊκό άνεμο, γεγονός που υπογραμμίζει ότι οι συνθήκες ανέμου, και όχι μόνο η ίδια η τεχνολογία WAPS, συγκαταλέγονται στις παραμέτρους με τη μεγαλύτερη επίδραση στην επίδοση που επιτυγχάνεται τελικά [</w:t>
      </w:r>
      <w:r>
        <w:fldChar w:fldCharType="begin"/>
      </w:r>
      <w:r>
        <w:instrText xml:space="preserve"> REF _Ref_cit_7 \h \* MERGEFORMAT </w:instrText>
      </w:r>
      <w:r>
        <w:fldChar w:fldCharType="separate"/>
      </w:r>
      <w:r w:rsidR="00B0043E" w:rsidRPr="00B0043E">
        <w:t>7</w:t>
      </w:r>
      <w:r>
        <w:fldChar w:fldCharType="end"/>
      </w:r>
      <w:r>
        <w:t>], [</w:t>
      </w:r>
      <w:r>
        <w:fldChar w:fldCharType="begin"/>
      </w:r>
      <w:r>
        <w:instrText xml:space="preserve"> REF _Ref_cit_39 \h \* MERGEFORMAT </w:instrText>
      </w:r>
      <w:r>
        <w:fldChar w:fldCharType="separate"/>
      </w:r>
      <w:r w:rsidR="00B0043E" w:rsidRPr="00B0043E">
        <w:t>39</w:t>
      </w:r>
      <w:r>
        <w:fldChar w:fldCharType="end"/>
      </w:r>
      <w:r>
        <w:t>].</w:t>
      </w:r>
    </w:p>
    <w:p w14:paraId="7CCF8F97" w14:textId="77777777" w:rsidR="00BF5124" w:rsidRDefault="003C7DFB">
      <w:pPr>
        <w:pStyle w:val="30"/>
        <w:spacing w:line="360" w:lineRule="auto"/>
        <w:jc w:val="both"/>
      </w:pPr>
      <w:bookmarkStart w:id="114" w:name="_Toc243355289"/>
      <w:r>
        <w:t>Τύπος πλοίου και χαρακτηριστικά της διαδρομής</w:t>
      </w:r>
      <w:bookmarkEnd w:id="114"/>
    </w:p>
    <w:p w14:paraId="41C48226" w14:textId="6C908929" w:rsidR="00BF5124" w:rsidRDefault="003C7DFB">
      <w:pPr>
        <w:spacing w:line="360" w:lineRule="auto"/>
        <w:ind w:firstLine="576"/>
        <w:jc w:val="both"/>
      </w:pPr>
      <w:r>
        <w:t xml:space="preserve">Η </w:t>
      </w:r>
      <w:proofErr w:type="spellStart"/>
      <w:r>
        <w:t>καταλληλότητα</w:t>
      </w:r>
      <w:proofErr w:type="spellEnd"/>
      <w:r>
        <w:t xml:space="preserve"> και η αναμενόμενη επίδοση των WAPS επηρεάζονται επίσης έντονα από τα χαρακτηριστικά του πλοίου στο οποίο εγκαθίστανται και από τη διαδρομή του. Ο τύπος του πλοίου επηρεάζει τόσο τον διαθέσιμο χώρο για την εγκατάσταση συστημάτων αιολικής υποβοήθησης της πρόωσης όσο και τον βαθμό στον οποίο η παραγόμενη ώση μεταφράζεται σε εξοικονόμηση καυσίμου. Τα φορτηγά πλοία χύδην ξηρού φορτίου, τα δεξαμενόπλοια και τα πλοία γενικού φορτίου διαθέτουν συνήθως μεγάλες, ελεύθερες επιφάνειες καταστρώματος και σχετικά απλές διατάξεις διακίνησης φορτίου, γεγονός που τα καθιστά κατάλληλα για ιστία-</w:t>
      </w:r>
      <w:proofErr w:type="spellStart"/>
      <w:r>
        <w:t>ρότορες</w:t>
      </w:r>
      <w:proofErr w:type="spellEnd"/>
      <w:r>
        <w:t xml:space="preserve">, πτέρυγες αναρρόφησης και άκαμπτα ιστία. Αντίθετα, τα πλοία μεταφοράς εμπορευματοκιβωτίων και τα πλοία </w:t>
      </w:r>
      <w:proofErr w:type="spellStart"/>
      <w:r>
        <w:t>RoRo</w:t>
      </w:r>
      <w:proofErr w:type="spellEnd"/>
      <w:r>
        <w:t xml:space="preserve"> περιορίζονται συχνά από τη </w:t>
      </w:r>
      <w:proofErr w:type="spellStart"/>
      <w:r>
        <w:t>στοίβαξη</w:t>
      </w:r>
      <w:proofErr w:type="spellEnd"/>
      <w:r>
        <w:t xml:space="preserve"> του φορτίου, τις εργασίες των γερανών και τους περιορισμούς ύψους (</w:t>
      </w:r>
      <w:proofErr w:type="spellStart"/>
      <w:r>
        <w:t>air</w:t>
      </w:r>
      <w:proofErr w:type="spellEnd"/>
      <w:r>
        <w:t xml:space="preserve"> </w:t>
      </w:r>
      <w:proofErr w:type="spellStart"/>
      <w:r>
        <w:t>draft</w:t>
      </w:r>
      <w:proofErr w:type="spellEnd"/>
      <w:r>
        <w:t>) που επιβάλλουν οι λιμενικές υποδομές και οι γέφυρες, οι οποίοι περιορίζουν τόσο τον αριθμό όσο και το ύψος των διατάξεων που μπορούν να εγκατασταθούν [</w:t>
      </w:r>
      <w:r>
        <w:fldChar w:fldCharType="begin"/>
      </w:r>
      <w:r>
        <w:instrText xml:space="preserve"> REF _Ref_cit_39 \h \* MERGEFORMAT </w:instrText>
      </w:r>
      <w:r>
        <w:fldChar w:fldCharType="separate"/>
      </w:r>
      <w:r w:rsidR="00B0043E" w:rsidRPr="00B0043E">
        <w:t>39</w:t>
      </w:r>
      <w:r>
        <w:fldChar w:fldCharType="end"/>
      </w:r>
      <w:r>
        <w:t xml:space="preserve">]. Το μέγεθος του πλοίου και η μορφή της γάστρας επηρεάζουν επίσης τη σχετική συμβολή της αιολικής πρόωσης στο συνολικό ισοζύγιο </w:t>
      </w:r>
      <w:r>
        <w:lastRenderedPageBreak/>
        <w:t>ισχύος, καθώς τα μεγαλύτερα πλοία απαιτούν γενικά αναλογικά μεγαλύτερη επιφάνεια ιστίων για να επιτύχουν την ίδια ποσοστιαία μείωση της κατανάλωσης καυσίμου.</w:t>
      </w:r>
    </w:p>
    <w:p w14:paraId="2AC1D408" w14:textId="668F4D64" w:rsidR="00BF5124" w:rsidRDefault="003C7DFB">
      <w:pPr>
        <w:spacing w:line="360" w:lineRule="auto"/>
        <w:ind w:firstLine="576"/>
        <w:jc w:val="both"/>
      </w:pPr>
      <w:r>
        <w:t>Τα χαρακτηριστικά της διαδρομής διαδραματίζουν εξίσου σημαντικό ρόλο. Τα πλοία που εκτελούν σταθερές εμπορικές διαδρομές μεγάλων αποστάσεων, με προβλέψιμα εποχικά πρότυπα ανέμου</w:t>
      </w:r>
      <w:r w:rsidR="00477243">
        <w:t xml:space="preserve"> (συστήματα</w:t>
      </w:r>
      <w:r w:rsidR="00047F73">
        <w:t xml:space="preserve"> ανέμων</w:t>
      </w:r>
      <w:r w:rsidR="00477243">
        <w:t xml:space="preserve"> </w:t>
      </w:r>
      <w:r w:rsidR="00047F73">
        <w:t>σε ωκεανούς)</w:t>
      </w:r>
      <w:r>
        <w:t>, είναι σε καλύτερη θέση να επωφεληθούν από τα WAPS σε σχέση με εκείνα που δραστηριοποιούνται στη ναυτιλία μικρών αποστάσεων (</w:t>
      </w:r>
      <w:proofErr w:type="spellStart"/>
      <w:r>
        <w:t>short-sea</w:t>
      </w:r>
      <w:proofErr w:type="spellEnd"/>
      <w:r>
        <w:t>) ή στην ελεύθερη ναυτιλία (</w:t>
      </w:r>
      <w:proofErr w:type="spellStart"/>
      <w:r>
        <w:t>tramp</w:t>
      </w:r>
      <w:proofErr w:type="spellEnd"/>
      <w:r>
        <w:t>) με ιδιαίτερα μεταβλητές διαδρομές, καθώς στην πρώτη περίπτωση οι διαχειριστές μπορούν να σχεδιάζουν τα ταξίδια, και σε ορισμένες περιπτώσεις τον ίδιο τον σχεδιασμό του πλοίου, με βάση το αναμενόμενο αιολικό κλίμα. Η ταχύτητα λειτουργίας αποτελεί έναν ακόμη παράγοντα, καθώς τα WAPS συνεισφέρουν γενικά σχετικά περισσότερο στην πρόωση σε χαμηλότερες ταχύτητες του πλοίου, όπου ο φαινόμενος άνεμος προσεγγίζει τον πραγματικό και η αεροδυναμική ώση αντιπροσωπεύει μεγαλύτερο μερίδιο της συνολικής απαιτούμενης ισχύος πρόωσης, ενώ σε υψηλότερες υπηρεσιακές ταχύτητες η αυξανόμενη συνιστώσα φαινόμενου αντίθετου ανέμου και η αυξανόμενη αντίσταση της γάστρας μειώνουν το σχετικό όφελος [</w:t>
      </w:r>
      <w:r>
        <w:fldChar w:fldCharType="begin"/>
      </w:r>
      <w:r>
        <w:instrText xml:space="preserve"> REF _Ref_cit_7 \h \* MERGEFORMAT </w:instrText>
      </w:r>
      <w:r>
        <w:fldChar w:fldCharType="separate"/>
      </w:r>
      <w:r w:rsidR="00B0043E" w:rsidRPr="00B0043E">
        <w:t>7</w:t>
      </w:r>
      <w:r>
        <w:fldChar w:fldCharType="end"/>
      </w:r>
      <w:r>
        <w:t>], [</w:t>
      </w:r>
      <w:r>
        <w:fldChar w:fldCharType="begin"/>
      </w:r>
      <w:r>
        <w:instrText xml:space="preserve"> REF _Ref_cit_28 \h \* MERGEFORMAT </w:instrText>
      </w:r>
      <w:r>
        <w:fldChar w:fldCharType="separate"/>
      </w:r>
      <w:r w:rsidR="00B0043E" w:rsidRPr="00B0043E">
        <w:t>28</w:t>
      </w:r>
      <w:r>
        <w:fldChar w:fldCharType="end"/>
      </w:r>
      <w:r>
        <w:t>].</w:t>
      </w:r>
    </w:p>
    <w:p w14:paraId="68F003C8" w14:textId="77777777" w:rsidR="00BF5124" w:rsidRDefault="003C7DFB">
      <w:pPr>
        <w:pStyle w:val="30"/>
        <w:spacing w:line="360" w:lineRule="auto"/>
        <w:jc w:val="both"/>
      </w:pPr>
      <w:bookmarkStart w:id="115" w:name="_Toc243355290"/>
      <w:r>
        <w:t>Διάταξη εγκατάστασης και αεροδυναμική αλληλεπίδραση</w:t>
      </w:r>
      <w:bookmarkEnd w:id="115"/>
    </w:p>
    <w:p w14:paraId="5ACDF76E" w14:textId="34860341" w:rsidR="00BF5124" w:rsidRDefault="003C7DFB">
      <w:pPr>
        <w:spacing w:line="360" w:lineRule="auto"/>
        <w:ind w:firstLine="576"/>
        <w:jc w:val="both"/>
      </w:pPr>
      <w:r>
        <w:t xml:space="preserve">Όταν σε ένα πλοίο εγκαθίστανται πολλαπλές μονάδες αιολικής υποβοήθησης, η σχετική διάταξή τους και η αμοιβαία αεροδυναμική τους αλληλεπίδραση καθίστανται σημαντικές σχεδιαστικές παράμετροι. Ιστία ή </w:t>
      </w:r>
      <w:proofErr w:type="spellStart"/>
      <w:r>
        <w:t>ρότορες</w:t>
      </w:r>
      <w:proofErr w:type="spellEnd"/>
      <w:r>
        <w:t xml:space="preserve"> τοποθετημένοι σε σειρά κατά μήκος του καταστρώματος μπορούν, ανάλογα με τη γωνία του φαινόμενου ανέμου, να σκιάζουν εν μέρει ο ένας τον άλλον, μειώνοντας την ώση </w:t>
      </w:r>
      <w:r w:rsidR="00E67E38" w:rsidRPr="00E67E38">
        <w:t xml:space="preserve">των μονάδων που βρίσκονται προς την κατεύθυνση της ροής </w:t>
      </w:r>
      <w:r>
        <w:t>και μεταβάλλοντας τις βέλτιστες ρυθμίσεις λειτουργίας σε σύγκριση με μια μεμονωμένη διάταξη. Κατά συνέπεια, η απόσταση μεταξύ των μονάδων, η διαμήκης θέση τους και, όπου εφαρμόζεται, ο έλεγχος της ταχύτητας περιστροφής ή της γωνίας προσβολής κάθε μονάδας πρέπει να βελτιστοποιούνται από κοινού και όχι ανεξάρτητα, ώστε να μεγιστοποιείται η συνολική ώση και να αποφεύγονται δυσανάλογες απώλειες για ορισμένες διευθύνσεις ανέμου [</w:t>
      </w:r>
      <w:r>
        <w:fldChar w:fldCharType="begin"/>
      </w:r>
      <w:r>
        <w:instrText xml:space="preserve"> REF _Ref_cit_39 \h \* MERGEFORMAT </w:instrText>
      </w:r>
      <w:r>
        <w:fldChar w:fldCharType="separate"/>
      </w:r>
      <w:r w:rsidR="00B0043E" w:rsidRPr="00B0043E">
        <w:t>39</w:t>
      </w:r>
      <w:r>
        <w:fldChar w:fldCharType="end"/>
      </w:r>
      <w:r>
        <w:t>], [</w:t>
      </w:r>
      <w:r>
        <w:fldChar w:fldCharType="begin"/>
      </w:r>
      <w:r>
        <w:instrText xml:space="preserve"> REF _Ref_cit_43 \h \* MERGEFORMAT </w:instrText>
      </w:r>
      <w:r>
        <w:fldChar w:fldCharType="separate"/>
      </w:r>
      <w:r w:rsidR="00B0043E" w:rsidRPr="00B0043E">
        <w:t>43</w:t>
      </w:r>
      <w:r>
        <w:fldChar w:fldCharType="end"/>
      </w:r>
      <w:r>
        <w:t xml:space="preserve">]. Ο αριθμός των εγκατεστημένων μονάδων αποτελεί από μόνος του αντικείμενο συμβιβασμού, καθώς οι πρόσθετες διατάξεις αυξάνουν τη θεωρητική μέγιστη ώση, αλλά αυξάνουν επίσης το κεφαλαιουχικό κόστος, τις απαιτήσεις σε χώρο </w:t>
      </w:r>
      <w:r>
        <w:lastRenderedPageBreak/>
        <w:t>καταστρώματος και την πολυπλοκότητα του συστήματος ελέγχου που απαιτείται για τον συντονισμό της λειτουργίας τους, ενώ το οριακό όφελος εξοικονόμησης καυσίμου κάθε πρόσθετης μονάδας μειώνεται πέρα από μια ορισμένη πυκνότητα λόγω αεροδυναμικής παρεμβολής [</w:t>
      </w:r>
      <w:r>
        <w:fldChar w:fldCharType="begin"/>
      </w:r>
      <w:r>
        <w:instrText xml:space="preserve"> REF _Ref_cit_28 \h \* MERGEFORMAT </w:instrText>
      </w:r>
      <w:r>
        <w:fldChar w:fldCharType="separate"/>
      </w:r>
      <w:r w:rsidR="00B0043E" w:rsidRPr="00B0043E">
        <w:t>28</w:t>
      </w:r>
      <w:r>
        <w:fldChar w:fldCharType="end"/>
      </w:r>
      <w:r>
        <w:t>].</w:t>
      </w:r>
    </w:p>
    <w:p w14:paraId="2A9A26C1" w14:textId="25614675" w:rsidR="00BF5124" w:rsidRDefault="003C7DFB">
      <w:pPr>
        <w:spacing w:line="360" w:lineRule="auto"/>
        <w:ind w:firstLine="576"/>
        <w:jc w:val="both"/>
      </w:pPr>
      <w:r>
        <w:t>Η διάταξη της εγκατάστασης περιορίζεται περαιτέρω από ζητήματα αντοχής και ευστάθειας. Το ύψος και το βάρος των ιστίων-</w:t>
      </w:r>
      <w:proofErr w:type="spellStart"/>
      <w:r>
        <w:t>ροτόρων</w:t>
      </w:r>
      <w:proofErr w:type="spellEnd"/>
      <w:r>
        <w:t xml:space="preserve">, των άκαμπτων ιστίων και των πτερύγων αναρρόφησης επηρεάζουν το κέντρο βάρους και το </w:t>
      </w:r>
      <w:proofErr w:type="spellStart"/>
      <w:r>
        <w:t>μετακεντρικό</w:t>
      </w:r>
      <w:proofErr w:type="spellEnd"/>
      <w:r>
        <w:t xml:space="preserve"> ύψος του πλοίου, τα οποία πρέπει να αξιολογούνται ώστε να διασφαλίζεται η συμμόρφωση με τις απαιτήσεις ευστάθειας πλοίου και ευστάθειας σε βλάβη, ιδίως στις μετασκευές πλοίων που δεν είχαν αρχικά σχεδιαστεί για να φέρουν πρόσθετες κατασκευές πάνω από το κατάστρωμα. Οι περιορισμοί ύψους (</w:t>
      </w:r>
      <w:proofErr w:type="spellStart"/>
      <w:r>
        <w:t>air</w:t>
      </w:r>
      <w:proofErr w:type="spellEnd"/>
      <w:r>
        <w:t xml:space="preserve"> </w:t>
      </w:r>
      <w:proofErr w:type="spellStart"/>
      <w:r>
        <w:t>draft</w:t>
      </w:r>
      <w:proofErr w:type="spellEnd"/>
      <w:r>
        <w:t>) που απορρέουν από διελεύσεις κάτω από γέφυρες, από λιμενικούς γερανούς και από άλλες σταθερές υποδομές μπορούν επίσης να περιορίζουν το μέγιστο επιτρεπόμενο ύψος των εγκατεστημένων διατάξεων σε ορισμένες διαδρομές, ευνοώντας σε ορισμένες περιπτώσεις αναδιπλούμενους ή ανασυρόμενους σχεδιασμούς [</w:t>
      </w:r>
      <w:r>
        <w:fldChar w:fldCharType="begin"/>
      </w:r>
      <w:r>
        <w:instrText xml:space="preserve"> REF _Ref_cit_39 \h \* MERGEFORMAT </w:instrText>
      </w:r>
      <w:r>
        <w:fldChar w:fldCharType="separate"/>
      </w:r>
      <w:r w:rsidR="00B0043E" w:rsidRPr="00B0043E">
        <w:t>39</w:t>
      </w:r>
      <w:r>
        <w:fldChar w:fldCharType="end"/>
      </w:r>
      <w:r>
        <w:t>], [</w:t>
      </w:r>
      <w:r>
        <w:fldChar w:fldCharType="begin"/>
      </w:r>
      <w:r>
        <w:instrText xml:space="preserve"> REF _Ref_cit_42 \h \* MERGEFORMAT </w:instrText>
      </w:r>
      <w:r>
        <w:fldChar w:fldCharType="separate"/>
      </w:r>
      <w:r w:rsidR="00B0043E" w:rsidRPr="00B0043E">
        <w:t>42</w:t>
      </w:r>
      <w:r>
        <w:fldChar w:fldCharType="end"/>
      </w:r>
      <w:r>
        <w:t>].</w:t>
      </w:r>
    </w:p>
    <w:p w14:paraId="74C2F45B" w14:textId="426A7C1E" w:rsidR="00556FBF" w:rsidRDefault="00FE19F6">
      <w:pPr>
        <w:spacing w:line="360" w:lineRule="auto"/>
        <w:ind w:firstLine="576"/>
        <w:jc w:val="both"/>
      </w:pPr>
      <w:r>
        <w:rPr>
          <w:noProof/>
        </w:rPr>
        <w:drawing>
          <wp:anchor distT="0" distB="0" distL="114300" distR="114300" simplePos="0" relativeHeight="251658273" behindDoc="0" locked="0" layoutInCell="1" allowOverlap="1" wp14:anchorId="1BC0F62E" wp14:editId="7E18EB15">
            <wp:simplePos x="0" y="0"/>
            <wp:positionH relativeFrom="margin">
              <wp:align>center</wp:align>
            </wp:positionH>
            <wp:positionV relativeFrom="paragraph">
              <wp:posOffset>27623</wp:posOffset>
            </wp:positionV>
            <wp:extent cx="3286125" cy="2182192"/>
            <wp:effectExtent l="0" t="0" r="0" b="8890"/>
            <wp:wrapSquare wrapText="bothSides"/>
            <wp:docPr id="203170487" name="Εικόνα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86125" cy="2182192"/>
                    </a:xfrm>
                    <a:prstGeom prst="rect">
                      <a:avLst/>
                    </a:prstGeom>
                    <a:noFill/>
                  </pic:spPr>
                </pic:pic>
              </a:graphicData>
            </a:graphic>
          </wp:anchor>
        </w:drawing>
      </w:r>
    </w:p>
    <w:p w14:paraId="0DF5350F" w14:textId="153813B6" w:rsidR="00556FBF" w:rsidRDefault="00556FBF">
      <w:pPr>
        <w:spacing w:line="360" w:lineRule="auto"/>
        <w:ind w:firstLine="576"/>
        <w:jc w:val="both"/>
      </w:pPr>
    </w:p>
    <w:p w14:paraId="3C936531" w14:textId="77777777" w:rsidR="00556FBF" w:rsidRDefault="00556FBF">
      <w:pPr>
        <w:spacing w:line="360" w:lineRule="auto"/>
        <w:ind w:firstLine="576"/>
        <w:jc w:val="both"/>
      </w:pPr>
    </w:p>
    <w:p w14:paraId="36E007D3" w14:textId="77777777" w:rsidR="00556FBF" w:rsidRDefault="00556FBF">
      <w:pPr>
        <w:spacing w:line="360" w:lineRule="auto"/>
        <w:ind w:firstLine="576"/>
        <w:jc w:val="both"/>
      </w:pPr>
    </w:p>
    <w:p w14:paraId="5BC421A9" w14:textId="77777777" w:rsidR="00556FBF" w:rsidRDefault="00556FBF">
      <w:pPr>
        <w:spacing w:line="360" w:lineRule="auto"/>
        <w:ind w:firstLine="576"/>
        <w:jc w:val="both"/>
      </w:pPr>
    </w:p>
    <w:p w14:paraId="0B0778C3" w14:textId="77777777" w:rsidR="00556FBF" w:rsidRDefault="00556FBF">
      <w:pPr>
        <w:spacing w:line="360" w:lineRule="auto"/>
        <w:ind w:firstLine="576"/>
        <w:jc w:val="both"/>
      </w:pPr>
    </w:p>
    <w:p w14:paraId="72616501" w14:textId="0A287321" w:rsidR="00556FBF" w:rsidRDefault="001141E6">
      <w:pPr>
        <w:spacing w:line="360" w:lineRule="auto"/>
        <w:ind w:firstLine="576"/>
        <w:jc w:val="both"/>
      </w:pPr>
      <w:r>
        <w:rPr>
          <w:noProof/>
        </w:rPr>
        <mc:AlternateContent>
          <mc:Choice Requires="wps">
            <w:drawing>
              <wp:anchor distT="0" distB="0" distL="114300" distR="114300" simplePos="0" relativeHeight="251658274" behindDoc="0" locked="0" layoutInCell="1" allowOverlap="1" wp14:anchorId="504C34F5" wp14:editId="7E302158">
                <wp:simplePos x="0" y="0"/>
                <wp:positionH relativeFrom="column">
                  <wp:posOffset>638175</wp:posOffset>
                </wp:positionH>
                <wp:positionV relativeFrom="paragraph">
                  <wp:posOffset>150495</wp:posOffset>
                </wp:positionV>
                <wp:extent cx="4376420" cy="533400"/>
                <wp:effectExtent l="0" t="0" r="5080" b="0"/>
                <wp:wrapSquare wrapText="bothSides"/>
                <wp:docPr id="929819296" name="Πλαίσιο κειμένου 1"/>
                <wp:cNvGraphicFramePr/>
                <a:graphic xmlns:a="http://schemas.openxmlformats.org/drawingml/2006/main">
                  <a:graphicData uri="http://schemas.microsoft.com/office/word/2010/wordprocessingShape">
                    <wps:wsp>
                      <wps:cNvSpPr txBox="1"/>
                      <wps:spPr>
                        <a:xfrm>
                          <a:off x="0" y="0"/>
                          <a:ext cx="4376420" cy="533400"/>
                        </a:xfrm>
                        <a:prstGeom prst="rect">
                          <a:avLst/>
                        </a:prstGeom>
                        <a:solidFill>
                          <a:prstClr val="white"/>
                        </a:solidFill>
                        <a:ln>
                          <a:noFill/>
                        </a:ln>
                      </wps:spPr>
                      <wps:txbx>
                        <w:txbxContent>
                          <w:p w14:paraId="51E2C939" w14:textId="70C5EC40" w:rsidR="00B13139" w:rsidRPr="001141E6" w:rsidRDefault="00B13139" w:rsidP="001141E6">
                            <w:pPr>
                              <w:pStyle w:val="af2"/>
                              <w:jc w:val="both"/>
                              <w:rPr>
                                <w:b/>
                                <w:bCs/>
                                <w:noProof/>
                              </w:rPr>
                            </w:pPr>
                            <w:bookmarkStart w:id="116" w:name="_Toc243077695"/>
                            <w:bookmarkStart w:id="117" w:name="_Toc243355383"/>
                            <w:r w:rsidRPr="001141E6">
                              <w:rPr>
                                <w:b/>
                                <w:bCs/>
                              </w:rPr>
                              <w:t xml:space="preserve">Εικόνα </w:t>
                            </w:r>
                            <w:r w:rsidRPr="001141E6">
                              <w:rPr>
                                <w:b/>
                                <w:bCs/>
                              </w:rPr>
                              <w:fldChar w:fldCharType="begin"/>
                            </w:r>
                            <w:r w:rsidRPr="001141E6">
                              <w:rPr>
                                <w:b/>
                                <w:bCs/>
                              </w:rPr>
                              <w:instrText xml:space="preserve"> SEQ </w:instrText>
                            </w:r>
                            <w:r w:rsidR="001141E6" w:rsidRPr="001141E6">
                              <w:rPr>
                                <w:b/>
                                <w:bCs/>
                                <w:lang w:val="en-US"/>
                              </w:rPr>
                              <w:instrText>Figure</w:instrText>
                            </w:r>
                            <w:r w:rsidRPr="001141E6">
                              <w:rPr>
                                <w:b/>
                                <w:bCs/>
                              </w:rPr>
                              <w:instrText xml:space="preserve"> \* ARABIC </w:instrText>
                            </w:r>
                            <w:r w:rsidRPr="001141E6">
                              <w:rPr>
                                <w:b/>
                                <w:bCs/>
                              </w:rPr>
                              <w:fldChar w:fldCharType="separate"/>
                            </w:r>
                            <w:r w:rsidR="00B0043E">
                              <w:rPr>
                                <w:b/>
                                <w:bCs/>
                                <w:noProof/>
                              </w:rPr>
                              <w:t>18</w:t>
                            </w:r>
                            <w:r w:rsidRPr="001141E6">
                              <w:rPr>
                                <w:b/>
                                <w:bCs/>
                              </w:rPr>
                              <w:fldChar w:fldCharType="end"/>
                            </w:r>
                            <w:r w:rsidR="001141E6" w:rsidRPr="001141E6">
                              <w:rPr>
                                <w:b/>
                                <w:bCs/>
                              </w:rPr>
                              <w:t>8</w:t>
                            </w:r>
                            <w:r w:rsidRPr="001141E6">
                              <w:rPr>
                                <w:b/>
                                <w:bCs/>
                              </w:rPr>
                              <w:t>: Το SC Connector στο λιμάνι του Ρότερνταμ το 2024, με έναν αναδιπλωμένο ρότορα Flettner.</w:t>
                            </w:r>
                            <w:bookmarkEnd w:id="116"/>
                            <w:bookmarkEnd w:id="11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4C34F5" id="_x0000_s1041" type="#_x0000_t202" style="position:absolute;left:0;text-align:left;margin-left:50.25pt;margin-top:11.85pt;width:344.6pt;height:42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" stroked="f">
                <v:textbox inset="0,0,0,0">
                  <w:txbxContent>
                    <w:p w14:paraId="51E2C939" w14:textId="70C5EC40" w:rsidR="00B13139" w:rsidRPr="001141E6" w:rsidRDefault="00B13139" w:rsidP="001141E6">
                      <w:pPr>
                        <w:pStyle w:val="af2"/>
                        <w:jc w:val="both"/>
                        <w:rPr>
                          <w:b/>
                          <w:bCs/>
                          <w:noProof/>
                        </w:rPr>
                      </w:pPr>
                      <w:bookmarkStart w:id="118" w:name="_Toc243077695"/>
                      <w:bookmarkStart w:id="119" w:name="_Toc243355383"/>
                      <w:r w:rsidRPr="001141E6">
                        <w:rPr>
                          <w:b/>
                          <w:bCs/>
                        </w:rPr>
                        <w:t xml:space="preserve">Εικόνα </w:t>
                      </w:r>
                      <w:r w:rsidRPr="001141E6">
                        <w:rPr>
                          <w:b/>
                          <w:bCs/>
                        </w:rPr>
                        <w:fldChar w:fldCharType="begin"/>
                      </w:r>
                      <w:r w:rsidRPr="001141E6">
                        <w:rPr>
                          <w:b/>
                          <w:bCs/>
                        </w:rPr>
                        <w:instrText xml:space="preserve"> SEQ </w:instrText>
                      </w:r>
                      <w:r w:rsidR="001141E6" w:rsidRPr="001141E6">
                        <w:rPr>
                          <w:b/>
                          <w:bCs/>
                          <w:lang w:val="en-US"/>
                        </w:rPr>
                        <w:instrText>Figure</w:instrText>
                      </w:r>
                      <w:r w:rsidRPr="001141E6">
                        <w:rPr>
                          <w:b/>
                          <w:bCs/>
                        </w:rPr>
                        <w:instrText xml:space="preserve"> \* ARABIC </w:instrText>
                      </w:r>
                      <w:r w:rsidRPr="001141E6">
                        <w:rPr>
                          <w:b/>
                          <w:bCs/>
                        </w:rPr>
                        <w:fldChar w:fldCharType="separate"/>
                      </w:r>
                      <w:r w:rsidR="00B0043E">
                        <w:rPr>
                          <w:b/>
                          <w:bCs/>
                          <w:noProof/>
                        </w:rPr>
                        <w:t>18</w:t>
                      </w:r>
                      <w:r w:rsidRPr="001141E6">
                        <w:rPr>
                          <w:b/>
                          <w:bCs/>
                        </w:rPr>
                        <w:fldChar w:fldCharType="end"/>
                      </w:r>
                      <w:r w:rsidR="001141E6" w:rsidRPr="001141E6">
                        <w:rPr>
                          <w:b/>
                          <w:bCs/>
                        </w:rPr>
                        <w:t>8</w:t>
                      </w:r>
                      <w:r w:rsidRPr="001141E6">
                        <w:rPr>
                          <w:b/>
                          <w:bCs/>
                        </w:rPr>
                        <w:t>: Το SC Connector στο λιμάνι του Ρότερνταμ το 2024, με έναν αναδιπλωμένο ρότορα Flettner.</w:t>
                      </w:r>
                      <w:bookmarkEnd w:id="118"/>
                      <w:bookmarkEnd w:id="119"/>
                    </w:p>
                  </w:txbxContent>
                </v:textbox>
                <w10:wrap type="square"/>
              </v:shape>
            </w:pict>
          </mc:Fallback>
        </mc:AlternateContent>
      </w:r>
    </w:p>
    <w:p w14:paraId="76CD9440" w14:textId="77777777" w:rsidR="00BF5124" w:rsidRDefault="003C7DFB">
      <w:pPr>
        <w:pStyle w:val="30"/>
        <w:spacing w:line="360" w:lineRule="auto"/>
        <w:jc w:val="both"/>
      </w:pPr>
      <w:bookmarkStart w:id="120" w:name="_Toc243355291"/>
      <w:r>
        <w:t>Ενσωμάτωση στο κύριο σύστημα πρόωσης και λειτουργικό προφίλ</w:t>
      </w:r>
      <w:bookmarkEnd w:id="120"/>
    </w:p>
    <w:p w14:paraId="47BD48CC" w14:textId="61E4F9C7" w:rsidR="00BF5124" w:rsidRDefault="003C7DFB">
      <w:pPr>
        <w:spacing w:line="360" w:lineRule="auto"/>
        <w:ind w:firstLine="576"/>
        <w:jc w:val="both"/>
      </w:pPr>
      <w:r>
        <w:t xml:space="preserve">Τα WAPS είναι βοηθητικά και όχι κύρια συστήματα πρόωσης, και η συνολική τους συμβολή στην εξοικονόμηση καυσίμου εξαρτάται από το πόσο αποτελεσματικά ενσωματώνεται η απόδοσή τους στη λειτουργία της κύριας μηχανής του πλοίου. Στην πράξη, η ώση που παράγουν τα ιστία χρησιμοποιείται είτε για τη διατήρηση της προγραμματισμένης ταχύτητας του πλοίου με μειωμένη ισχύ της κύριας μηχανής είτε </w:t>
      </w:r>
      <w:r>
        <w:lastRenderedPageBreak/>
        <w:t>για την αύξηση της ταχύτητας με σταθερή ισχύ, ενώ η βέλτιστη στρατηγική εξαρτάται από τις απαιτήσεις της ναύλωσης</w:t>
      </w:r>
      <w:r w:rsidR="00D71F63" w:rsidRPr="00D71F63">
        <w:t xml:space="preserve"> (</w:t>
      </w:r>
      <w:r w:rsidR="00D71F63">
        <w:t>χρονοδιάγραμμα)</w:t>
      </w:r>
      <w:r>
        <w:t>, τις τιμές καυσίμων και τα κίνητρα που σχετίζονται με τις εκπομπές, όπως ο Δείκτης Έντασης Άνθρακα. Η πλήρης αξιοποίηση των WAPS απαιτεί επομένως ενσωμάτωση στα συστήματα διαχείρισης ισχύος και αυτοματισμού του πλοίου, ώστε η ισχύς της κύριας μηχανής να προσαρμόζεται δυναμικά στη μεταβαλλόμενη ώση των τεχνολογιών αιολικής υποβοήθησης της πρόωσης, αντί τα δύο συστήματα να λειτουργούν ανεξάρτητα [</w:t>
      </w:r>
      <w:r>
        <w:fldChar w:fldCharType="begin"/>
      </w:r>
      <w:r>
        <w:instrText xml:space="preserve"> REF _Ref_cit_7 \h \* MERGEFORMAT </w:instrText>
      </w:r>
      <w:r>
        <w:fldChar w:fldCharType="separate"/>
      </w:r>
      <w:r w:rsidR="00B0043E" w:rsidRPr="00B0043E">
        <w:t>7</w:t>
      </w:r>
      <w:r>
        <w:fldChar w:fldCharType="end"/>
      </w:r>
      <w:r>
        <w:t>].</w:t>
      </w:r>
    </w:p>
    <w:p w14:paraId="439E832A" w14:textId="5B1C0E41" w:rsidR="00D11382" w:rsidRDefault="003C7DFB" w:rsidP="002B45E9">
      <w:pPr>
        <w:spacing w:line="360" w:lineRule="auto"/>
        <w:ind w:firstLine="576"/>
        <w:jc w:val="both"/>
      </w:pPr>
      <w:r>
        <w:t>Το αν ένα WAPS εγκαθίσταται ως μετασκευή σε υφιστάμενο πλοίο ή ενσωματώνεται στον σχεδιασμό ενός νεότευκτου πλοίου έχει επίσης μετρήσιμη επίδραση στην επίδοση που μπορεί να επιτευχθεί. Τα νεότευκτα πλοία μπορούν να βελτιστοποιηθούν εξαρχής, με τη μορφή της γάστρας, τη διάταξη των ιστίων, τη διαρρύθμιση του καταστρώματος και τα περιθώρια ευστάθειας να σχεδιάζονται από κοινού, ώστε να μεγιστοποιείται το αεροδυναμικό όφελος των εγκατεστημένων τεχνολογιών. Αντίθετα, οι μετασκευές πρέπει να προσαρμόζονται στους περιορισμούς μιας υφιστάμενης γάστρας, διάταξης καταστρώματος και εύρους ευστάθειας, οι οποίοι μπορούν να περιορίσουν το μέγεθος, τον αριθμό και τη θέση των μονάδων και, επομένως, την εξοικονόμηση καυσίμου που μπορεί ρεαλιστικά να επιτευχθεί. Η αναφερόμενη εξοικονόμηση καυσίμου για εγκαταστάσεις μετασκευής κυμαίνεται συνήθως μεταξύ 4–15%, ενώ για βελτιστοποιημένες διατάξεις και ευνοϊκές συνθήκες λειτουργίας έχει αναφερθεί εξοικονόμηση έως και 25% ή περισσότερο, γεγονός που δείχνει σε ποιον βαθμό ο σχεδιασμός του συγκεκριμένου πλοίου και η βελτιστοποίηση της διαδρομής επηρεάζουν το τελικό αποτέλεσμα [</w:t>
      </w:r>
      <w:r>
        <w:fldChar w:fldCharType="begin"/>
      </w:r>
      <w:r>
        <w:instrText xml:space="preserve"> REF _Ref_cit_7 \h \* MERGEFORMAT </w:instrText>
      </w:r>
      <w:r>
        <w:fldChar w:fldCharType="separate"/>
      </w:r>
      <w:r w:rsidR="00B0043E" w:rsidRPr="00B0043E">
        <w:t>7</w:t>
      </w:r>
      <w:r>
        <w:fldChar w:fldCharType="end"/>
      </w:r>
      <w:r>
        <w:t>], [</w:t>
      </w:r>
      <w:r>
        <w:fldChar w:fldCharType="begin"/>
      </w:r>
      <w:r>
        <w:instrText xml:space="preserve"> REF _Ref_cit_34 \h \* MERGEFORMAT </w:instrText>
      </w:r>
      <w:r>
        <w:fldChar w:fldCharType="separate"/>
      </w:r>
      <w:r w:rsidR="00B0043E" w:rsidRPr="00B0043E">
        <w:t>34</w:t>
      </w:r>
      <w:r>
        <w:fldChar w:fldCharType="end"/>
      </w:r>
      <w:r>
        <w:t>], [</w:t>
      </w:r>
      <w:r>
        <w:fldChar w:fldCharType="begin"/>
      </w:r>
      <w:r>
        <w:instrText xml:space="preserve"> REF _Ref_cit_39 \h \* MERGEFORMAT </w:instrText>
      </w:r>
      <w:r>
        <w:fldChar w:fldCharType="separate"/>
      </w:r>
      <w:r w:rsidR="00B0043E" w:rsidRPr="00B0043E">
        <w:t>39</w:t>
      </w:r>
      <w:r>
        <w:fldChar w:fldCharType="end"/>
      </w:r>
      <w:r>
        <w:t>].</w:t>
      </w:r>
    </w:p>
    <w:p w14:paraId="24115EFB" w14:textId="427373C1" w:rsidR="00D93375" w:rsidRDefault="00D93375">
      <w:r>
        <w:br w:type="page"/>
      </w:r>
    </w:p>
    <w:p w14:paraId="331ABFEB" w14:textId="73A21A4E" w:rsidR="00D11382" w:rsidRDefault="002B45E9" w:rsidP="00D11382">
      <w:pPr>
        <w:pStyle w:val="11"/>
      </w:pPr>
      <w:bookmarkStart w:id="121" w:name="_Toc243355292"/>
      <w:r>
        <w:lastRenderedPageBreak/>
        <w:t>Τεχνοοικονομική αξιολόγηση των WAPS</w:t>
      </w:r>
      <w:bookmarkEnd w:id="121"/>
    </w:p>
    <w:p w14:paraId="24417629" w14:textId="78649FDA" w:rsidR="00CB66D4" w:rsidRDefault="00144A13" w:rsidP="00CB66D4">
      <w:pPr>
        <w:pStyle w:val="20"/>
      </w:pPr>
      <w:bookmarkStart w:id="122" w:name="_Toc243355293"/>
      <w:r>
        <w:t>Εισαγωγή στην τεχνοοικονομική αξιολόγηση</w:t>
      </w:r>
      <w:bookmarkEnd w:id="122"/>
    </w:p>
    <w:p w14:paraId="46E411AD" w14:textId="2DF29DB5" w:rsidR="00374034" w:rsidRDefault="00CB66D4" w:rsidP="00374034">
      <w:pPr>
        <w:spacing w:line="360" w:lineRule="auto"/>
        <w:ind w:firstLine="576"/>
        <w:jc w:val="both"/>
        <w:rPr>
          <w:rFonts w:eastAsia="Times New Roman" w:cs="Times New Roman"/>
          <w:kern w:val="0"/>
          <w14:ligatures w14:val="none"/>
        </w:rPr>
      </w:pPr>
      <w:r>
        <w:t>Η αξιολόγηση των συστημάτων αιολικής υποβοήθησης της πρόωσης (WAPS) απαιτεί να λαμβάνονται υπόψη τόσο η τεχνική τους επίδοση όσο και η οικονομική τους βιωσιμότητα. Αν και τα συστήματα αυτά μπορούν να μειώσουν την ισχύ πρόωσης που απαιτείται από την κύρια μηχανή και, κατά συνέπεια, την κατανάλωση καυσίμου και τις εκπομπές αερίων θερμοκηπίου, η υιοθέτησή τους συνεπάγεται σημαντικές επενδυτικές και λειτουργικές παραμέτρους. Επομένως, τα δυνητικά οφέλη των WAPS δεν μπορούν να αξιολογηθούν αποκλειστικά με βάση την εξοικονόμηση καυσίμου που επιτυγχάνουν, αλλά πρέπει να συνυπολογίζεται και το κόστος εγκατάστασης, λειτουργίας και συντήρησής τους καθ’ όλη τη διάρκεια ζωής τους.</w:t>
      </w:r>
      <w:r>
        <w:rPr>
          <w:rFonts w:eastAsiaTheme="majorEastAsia" w:cstheme="majorBidi"/>
        </w:rPr>
        <w:t xml:space="preserve"> </w:t>
      </w:r>
      <w:r>
        <w:rPr>
          <w:rFonts w:eastAsia="Times New Roman" w:cs="Times New Roman"/>
          <w:kern w:val="0"/>
          <w14:ligatures w14:val="none"/>
        </w:rPr>
        <w:t>Η έλλειψη αξιόπιστων δεδομένων κόστους για τα WAPS καθιστά δύσκολο τον προσδιορισμό της οικονομικής τους αποδοτικότητας. Παρ’ όλα αυτά, η σκοπιμότητα της μετασκευής ή της ενσωμάτωσης τέτοιων συστημάτων σε νέες ναυπηγήσεις μπορεί να αξιολογηθεί εξετάζοντας το κόστος επένδυσης σε συνδυασμό με τους κανονισμούς και τα μέτρα του IMO, τα οποία ενδέχεται να επηρεάσουν σημαντικά την οικονομική τους βιωσιμότητα. Ειδικότερα, οι τιμές καυσίμων, οι μηχανισμοί τιμολόγησης του άνθρακα, οι κανονιστικές απαιτήσεις και το λειτουργικό προφίλ ενός πλοίου μπορούν να επηρεάσουν ουσιωδώς τη χρηματοοικονομική επίδοση μιας εγκατάστασης WAPS. Οι παράγοντες αυτοί εισάγουν έναν βαθμό αβεβαιότητας στις επενδυτικές αποφάσεις και αναδεικνύουν την ανάγκη για μια συστηματική μεθοδολογία αξιολόγησης. Μια ολοκληρωμένη τεχνοοικονομική αξιολόγηση συνδυάζει επομένως τεχνικές, περιβαλλοντικές και οικονομικές παραμέτρους για τον προσδιορισμό της συνολικής επίδοσης μιας εγκατάστασης WAPS. Οι τεχνικοί δείκτες μπορούν να χρησιμοποιηθούν για την ποσοτικοποίηση της μείωσης της κατανάλωσης καυσίμου και της συμβολής της αιολικής ενέργειας στην πρόωση του πλοίου, ενώ οι περιβαλλοντικοί δείκτες επιτρέπουν την αξιολόγηση της επακόλουθης μείωσης των εκπομπών αερίων θερμοκηπίου. Οι οικονομικοί δείκτες, όπως η ετήσια εξοικονόμηση κόστους, η περίοδος αποπληρωμής, η καθαρή παρούσα αξία και ο εσωτερικός βαθμός απόδοσης, μπορούν στη συνέχεια να χρησιμοποιηθούν για να κριθεί αν η αρχική επένδυση είναι χρηματοοικονομικά ελκυστική κατά την αναμενόμενη διάρκεια ζωής του συστήματος.</w:t>
      </w:r>
      <w:r>
        <w:rPr>
          <w:rFonts w:eastAsiaTheme="majorEastAsia" w:cstheme="majorBidi"/>
        </w:rPr>
        <w:t xml:space="preserve"> </w:t>
      </w:r>
      <w:r>
        <w:rPr>
          <w:rFonts w:eastAsia="Times New Roman" w:cs="Times New Roman"/>
          <w:kern w:val="0"/>
          <w14:ligatures w14:val="none"/>
        </w:rPr>
        <w:t xml:space="preserve">Στο παρόν κεφάλαιο διαμορφώνεται το πλαίσιο αξιολόγησης που υιοθετείται στη μελέτη. Ορίζονται και εξετάζονται οι κύριοι τεχνικοί, περιβαλλοντικοί και οικονομικοί </w:t>
      </w:r>
      <w:r>
        <w:rPr>
          <w:rFonts w:eastAsia="Times New Roman" w:cs="Times New Roman"/>
          <w:kern w:val="0"/>
          <w14:ligatures w14:val="none"/>
        </w:rPr>
        <w:lastRenderedPageBreak/>
        <w:t xml:space="preserve">δείκτες, μαζί με τις κύριες παραμέτρους που επηρεάζουν τις τιμές τους. Οι δείκτες αυτοί χρησιμοποιούνται στη συνέχεια για την επισκόπηση των στοιχείων που αναφέρονται στη βιβλιογραφία, συμπεριλαμβανομένης </w:t>
      </w:r>
      <w:r w:rsidR="00EF1B73">
        <w:rPr>
          <w:rFonts w:eastAsia="Times New Roman" w:cs="Times New Roman"/>
          <w:kern w:val="0"/>
          <w14:ligatures w14:val="none"/>
        </w:rPr>
        <w:t>μιας</w:t>
      </w:r>
      <w:r>
        <w:rPr>
          <w:rFonts w:eastAsia="Times New Roman" w:cs="Times New Roman"/>
          <w:kern w:val="0"/>
          <w14:ligatures w14:val="none"/>
        </w:rPr>
        <w:t xml:space="preserve"> μελέτης περίπτωσης βελτιστοποίησης σχεδιασμού</w:t>
      </w:r>
      <w:r w:rsidR="00DC5421">
        <w:rPr>
          <w:rFonts w:eastAsia="Times New Roman" w:cs="Times New Roman"/>
          <w:kern w:val="0"/>
          <w14:ligatures w14:val="none"/>
        </w:rPr>
        <w:t xml:space="preserve"> των συστημάτων αυτών</w:t>
      </w:r>
      <w:r>
        <w:rPr>
          <w:rFonts w:eastAsia="Times New Roman" w:cs="Times New Roman"/>
          <w:kern w:val="0"/>
          <w14:ligatures w14:val="none"/>
        </w:rPr>
        <w:t xml:space="preserve"> [</w:t>
      </w:r>
      <w:r>
        <w:rPr>
          <w:rFonts w:eastAsia="Times New Roman" w:cs="Times New Roman"/>
          <w:kern w:val="0"/>
          <w14:ligatures w14:val="none"/>
        </w:rPr>
        <w:fldChar w:fldCharType="begin"/>
      </w:r>
      <w:r>
        <w:rPr>
          <w:rFonts w:eastAsia="Times New Roman" w:cs="Times New Roman"/>
          <w:kern w:val="0"/>
          <w14:ligatures w14:val="none"/>
        </w:rPr>
        <w:instrText xml:space="preserve"> REF _Ref_cit_45 \h \* MERGEFORMAT </w:instrText>
      </w:r>
      <w:r>
        <w:rPr>
          <w:rFonts w:eastAsia="Times New Roman" w:cs="Times New Roman"/>
          <w:kern w:val="0"/>
          <w14:ligatures w14:val="none"/>
        </w:rPr>
      </w:r>
      <w:r>
        <w:rPr>
          <w:rFonts w:eastAsia="Times New Roman" w:cs="Times New Roman"/>
          <w:kern w:val="0"/>
          <w14:ligatures w14:val="none"/>
        </w:rPr>
        <w:fldChar w:fldCharType="separate"/>
      </w:r>
      <w:r w:rsidR="00B0043E" w:rsidRPr="00B0043E">
        <w:rPr>
          <w:rFonts w:eastAsia="Times New Roman" w:cs="Times New Roman"/>
          <w:kern w:val="0"/>
          <w14:ligatures w14:val="none"/>
        </w:rPr>
        <w:t>45</w:t>
      </w:r>
      <w:r>
        <w:rPr>
          <w:rFonts w:eastAsia="Times New Roman" w:cs="Times New Roman"/>
          <w:kern w:val="0"/>
          <w14:ligatures w14:val="none"/>
        </w:rPr>
        <w:fldChar w:fldCharType="end"/>
      </w:r>
      <w:r>
        <w:rPr>
          <w:rFonts w:eastAsia="Times New Roman" w:cs="Times New Roman"/>
          <w:kern w:val="0"/>
          <w14:ligatures w14:val="none"/>
        </w:rPr>
        <w:t>], και, στο Κεφάλαιο 4, για την ποσοτικοποίηση, μέσω ενδεικτικών υπολογισμών, του τρόπου με τον οποίο το κανονιστικό πλαίσιο μεταβάλλει την αξία της εξοικονόμησης καυσίμου.</w:t>
      </w:r>
    </w:p>
    <w:p w14:paraId="15756A6F" w14:textId="0AF3D2A1" w:rsidR="0095065F" w:rsidRDefault="0095065F" w:rsidP="00374034">
      <w:pPr>
        <w:pStyle w:val="20"/>
      </w:pPr>
      <w:bookmarkStart w:id="123" w:name="_Toc243355294"/>
      <w:r>
        <w:t>Δείκτες τεχνικής επίδοσης</w:t>
      </w:r>
      <w:bookmarkEnd w:id="123"/>
    </w:p>
    <w:p w14:paraId="5480D600" w14:textId="77777777" w:rsidR="0095065F" w:rsidRDefault="007F246A" w:rsidP="007F246A">
      <w:pPr>
        <w:pStyle w:val="30"/>
      </w:pPr>
      <w:bookmarkStart w:id="124" w:name="_Toc243355295"/>
      <w:r>
        <w:t>Κατανάλωση καυσίμου αναφοράς</w:t>
      </w:r>
      <w:bookmarkEnd w:id="124"/>
    </w:p>
    <w:p w14:paraId="6D9EA83F" w14:textId="2D72E802" w:rsidR="009B2B0D" w:rsidRPr="00CB66D4" w:rsidRDefault="009B2B0D" w:rsidP="006A5ED8">
      <w:pPr>
        <w:spacing w:line="360" w:lineRule="auto"/>
        <w:ind w:firstLine="576"/>
        <w:jc w:val="both"/>
      </w:pPr>
      <w:r>
        <w:t xml:space="preserve">Η κατανάλωση καυσίμου αναφοράς αντιστοιχεί στο καύσιμο που απαιτείται από το πλοίο υπό καθορισμένη συνθήκη λειτουργίας, χωρίς αιολική υποβοήθηση της πρόωσης. Αποτελεί το σημείο αναφοράς έναντι του οποίου μπορεί να </w:t>
      </w:r>
      <w:proofErr w:type="spellStart"/>
      <w:r>
        <w:t>ποσοτικοποιηθεί</w:t>
      </w:r>
      <w:proofErr w:type="spellEnd"/>
      <w:r>
        <w:t xml:space="preserve"> η εξοικονόμηση καυσίμου που συνδέεται με την εγκατάσταση ενός WAPS. </w:t>
      </w:r>
      <w:r>
        <w:rPr>
          <w:rFonts w:eastAsia="Times New Roman" w:cs="Times New Roman"/>
          <w:kern w:val="0"/>
          <w14:ligatures w14:val="none"/>
        </w:rPr>
        <w:t xml:space="preserve">Η εξοικονόμηση κόστους εξαρτάται κυρίως από την κατανάλωση πετρελαίου του πλοίου </w:t>
      </w:r>
      <w:r w:rsidR="004E62D8" w:rsidRPr="0050129E">
        <w:rPr>
          <w:rFonts w:eastAsia="Times New Roman" w:cs="Times New Roman"/>
          <w:kern w:val="0"/>
          <w14:ligatures w14:val="none"/>
        </w:rPr>
        <w:fldChar w:fldCharType="begin"/>
      </w:r>
      <w:r w:rsidR="004E62D8" w:rsidRPr="0050129E">
        <w:rPr>
          <w:rFonts w:eastAsia="Times New Roman" w:cs="Times New Roman"/>
          <w:kern w:val="0"/>
          <w14:ligatures w14:val="none"/>
        </w:rPr>
        <w:instrText xml:space="preserve"> ADDIN ZOTERO_ITEM CSL_CITATION {"citationID":"KHPQ8lUF","properties":{"unsorted":false,"formattedCitation":"[40]","plainCitation":"[40]","noteIndex":0},"citationItems":[{"id":125,"uris":["http://zotero.org/users/19904160/items/KCSBP7F6"],"itemData":{"id":125,"type":"article-journal","abstract":"The maritime sector is under pressure to increase ship energy efficiency and reduce greenhouse gas (GHG) emissions as a part of global decarbonization goals. Various innovative technologies are being adopted in recent years, raising concerns not only about technological feasibility but also about the economic viability of such technologies in the context of sustainable maritime practices. This study evaluates the operational performance, potential to increase energy efficiency, and economic feasibility of wind-assisted propulsion technologies such as rotor sails across different vessel types and operational profiles. As a contribution to cleaner and more efficient shipping, energy savings produced by rotor thrust were analyzed in relation to vessel dimensions and rotor configuration. The results derived from publicly available industry data including shipowner reports, manufacturer case studies, and classification society publications on 25 confirmed rotor sail installations between 2010 and 2025 indicate that savings typically range between 4% and 15%, with isolated cases reporting up to 25%. A simulation model was developed to assess payback time based on varying fuel consumption, investment cost, CO2 pricing, and operational parameters. Monte Carlo analysis confirmed that under typical assumptions rotor sail investments can reach payback in three to six years (as the ship is also liable for CO2 payments). These findings offer practical guidance for shipowners and operators evaluating wind-assisted propulsion under current and emerging environmental regulations and contribute to advancing sustainability in maritime transport. The research contributes to bridging the gap between simulation-based and real-world performance evaluations of rotor sail technologies.","container-title":"Sustainability","DOI":"10.3390/su17135909","ISSN":"2071-1050","issue":"13","language":"en","license":"http://creativecommons.org/licenses/by/3.0/","page":"5909","publisher":"Multidisciplinary Digital Publishing Institute","source":"www.mdpi.com","title":"Economic Feasibility and Operational Performance of Rotor Sails in Maritime Transport","volume":"17","author":[{"family":"Carjova","given":"Kristine"},{"family":"Hilmola","given":"Olli-Pekka"},{"family":"Tapaninen","given":"Ulla"}],"issued":{"date-parts":[["2025",1]]}}}],"schema":"https://github.com/citation-style-language/schema/raw/master/csl-citation.json"} </w:instrText>
      </w:r>
      <w:r w:rsidR="004E62D8" w:rsidRPr="0050129E">
        <w:rPr>
          <w:rFonts w:eastAsia="Times New Roman" w:cs="Times New Roman"/>
          <w:kern w:val="0"/>
          <w14:ligatures w14:val="none"/>
        </w:rPr>
        <w:fldChar w:fldCharType="separate"/>
      </w:r>
      <w:r w:rsidR="004E62D8" w:rsidRPr="0050129E">
        <w:rPr>
          <w:rFonts w:cs="Times New Roman"/>
        </w:rPr>
        <w:t>[40]</w:t>
      </w:r>
      <w:r w:rsidR="004E62D8" w:rsidRPr="0050129E">
        <w:rPr>
          <w:rFonts w:eastAsia="Times New Roman" w:cs="Times New Roman"/>
          <w:kern w:val="0"/>
          <w14:ligatures w14:val="none"/>
        </w:rPr>
        <w:fldChar w:fldCharType="end"/>
      </w:r>
      <w:r>
        <w:rPr>
          <w:rFonts w:eastAsia="Times New Roman" w:cs="Times New Roman"/>
          <w:kern w:val="0"/>
          <w14:ligatures w14:val="none"/>
        </w:rPr>
        <w:t>. Μια συνεπής κατάσταση αναφοράς είναι απαραίτητη για την απομόνωση της επίδρασης της εγκατάστασης WAPS από άλλους παράγοντες που επηρεάζουν την κατανάλωση καυσίμου. Επομένως, το σενάριο αναφοράς και τα σενάρια με WAPS, για τις διάφορες τεχνολογίες, πρέπει να αξιολογούνται υπό συγκρίσιμες συνθήκες λειτουργίας του πλοίου, όπως η ταχύτητα, η κατάσταση φόρτωσης και, όπου εφαρμόζεται, οι περιβαλλοντικές συνθήκες. Αυτό συμβαίνει επειδή μια μείωση της κατανάλωσης καυσίμου του πλοίου δεν μπορεί να αποδοθεί αποκλειστικά στη βοηθητική ισχύ που παρέχουν τα WAPS, καθώς μπορεί να οφείλεται και σε μεταβολές των συνθηκών λειτουργίας, όπως ευνοϊκότερες συνθήκες ανέμου ή μειωμένο φορτίο του πλοίου.</w:t>
      </w:r>
    </w:p>
    <w:p w14:paraId="7AA96874" w14:textId="77777777" w:rsidR="00020140" w:rsidRDefault="003C7DFB" w:rsidP="00CE5514">
      <w:pPr>
        <w:pStyle w:val="30"/>
      </w:pPr>
      <w:bookmarkStart w:id="125" w:name="_Toc243355296"/>
      <w:r>
        <w:t>Κεφαλαιουχικές δαπάνες (CAPEX)</w:t>
      </w:r>
      <w:bookmarkEnd w:id="125"/>
    </w:p>
    <w:p w14:paraId="2530C0DA" w14:textId="63BD2C2E" w:rsidR="00C60D31" w:rsidRDefault="00C60D31">
      <w:pPr>
        <w:spacing w:line="360" w:lineRule="auto"/>
        <w:ind w:firstLine="576"/>
        <w:jc w:val="both"/>
      </w:pPr>
      <w:r w:rsidRPr="00C60D31">
        <w:t xml:space="preserve">Οι κεφαλαιουχικές δαπάνες (Capital </w:t>
      </w:r>
      <w:proofErr w:type="spellStart"/>
      <w:r w:rsidRPr="00C60D31">
        <w:t>Expenditure</w:t>
      </w:r>
      <w:proofErr w:type="spellEnd"/>
      <w:r w:rsidRPr="00C60D31">
        <w:t>, CAPEX) περιλαμβάνουν το εφάπαξ κόστος που απαιτείται για την απόκτηση και την εγκατάσταση ενός περιουσιακού στοιχείου πριν αυτό τεθεί σε λειτουργία, σε αντίθεση με τις λειτουργικές δαπάνες, οι οποίες επαναλαμβάνονται σε ετήσια βάση. Στην περίπτωση των WAPS, οι κεφαλαιουχικές δαπάνες περιλαμβάνουν το κόστος αγοράς των ίδιων των μονάδων (</w:t>
      </w:r>
      <w:proofErr w:type="spellStart"/>
      <w:r w:rsidRPr="00C60D31">
        <w:t>ρότορες</w:t>
      </w:r>
      <w:proofErr w:type="spellEnd"/>
      <w:r w:rsidRPr="00C60D31">
        <w:t xml:space="preserve">, πτέρυγες ή </w:t>
      </w:r>
      <w:r>
        <w:t>χαρταετούς</w:t>
      </w:r>
      <w:r w:rsidRPr="00C60D31">
        <w:t xml:space="preserve">), τις βάσεις και την ενίσχυση της δομής του καταστρώματος, την ηλεκτρική και τη μηχανολογική ενσωμάτωση με τα συστήματα του πλοίου, τις εργασίες εγκατάστασης, καθώς και το κόστος μελέτης και έγκρισης από </w:t>
      </w:r>
      <w:r w:rsidRPr="00C60D31">
        <w:lastRenderedPageBreak/>
        <w:t>τον νηογνώμονα. Σε μια μετασκευή προστίθεται επίσης η απώλεια εσόδων λόγω ακινητοποίησης του πλοίου (</w:t>
      </w:r>
      <w:proofErr w:type="spellStart"/>
      <w:r w:rsidRPr="00C60D31">
        <w:t>off-hire</w:t>
      </w:r>
      <w:proofErr w:type="spellEnd"/>
      <w:r w:rsidRPr="00C60D31">
        <w:t xml:space="preserve">) κατά τη διάρκεια των εργασιών, ενώ η εγκατάσταση αντιστοιχεί σε μεγαλύτερο μέρος του κόστους της μονάδας από ό,τι σε μια νέα ναυπήγηση, όπου η απαραίτητη δομή προβλέπεται ήδη από τον σχεδιασμό </w:t>
      </w:r>
      <w:r>
        <w:fldChar w:fldCharType="begin"/>
      </w:r>
      <w:r>
        <w:instrText xml:space="preserve"> ADDIN ZOTERO_ITEM CSL_CITATION {"citationID":"krxbXvSm","properties":{"unsorted":false,"formattedCitation":"[7]","plainCitation":"[7]","noteIndex":0},"citationItems":[{"id":26,"uris":["http://zotero.org/users/19904160/items/HYFKKXS7"],"itemData":{"id":26,"type":"webpage","title":"Review of Wind-Assisted Propulsion Systems in Maritime Transport","URL":"https://www.mdpi.com/1996-1073/18/4/897","accessed":{"date-parts":[["2026",3,11]]}}}],"schema":"https://github.com/citation-style-language/schema/raw/master/csl-citation.json"} </w:instrText>
      </w:r>
      <w:r>
        <w:fldChar w:fldCharType="separate"/>
      </w:r>
      <w:r w:rsidRPr="00C60D31">
        <w:rPr>
          <w:rFonts w:cs="Times New Roman"/>
        </w:rPr>
        <w:t>[7]</w:t>
      </w:r>
      <w:r>
        <w:fldChar w:fldCharType="end"/>
      </w:r>
      <w:r w:rsidRPr="00C60D31">
        <w:t xml:space="preserve">. Οι κεφαλαιουχικές δαπάνες αποτελούν το μεγαλύτερο αρχικό εμπόδιο για την υιοθέτηση των WAPS, καθώς πρέπει να καταβληθούν εξαρχής, ενώ το όφελος, δηλαδή η εξοικονόμηση καυσίμου, </w:t>
      </w:r>
      <w:proofErr w:type="spellStart"/>
      <w:r w:rsidRPr="00C60D31">
        <w:t>αποκομίζεται</w:t>
      </w:r>
      <w:proofErr w:type="spellEnd"/>
      <w:r w:rsidRPr="00C60D31">
        <w:t xml:space="preserve"> σταδιακά κατά τη διάρκεια ζωής του συστήματος. Επιπλέον, τα δημόσια διαθέσιμα δεδομένα κόστους είναι περιορισμένα και συχνά δεν είναι συγκρίσιμα μεταξύ τους, επειδή αφορούν διαφορετικές τεχνολογίες, μεγέθη πλοίων και αντικείμενα εργασιών </w:t>
      </w:r>
      <w:r w:rsidR="00084E49">
        <w:fldChar w:fldCharType="begin"/>
      </w:r>
      <w:r w:rsidR="00084E49">
        <w:instrText xml:space="preserve"> ADDIN ZOTERO_ITEM CSL_CITATION {"citationID":"krxbXvSm","properties":{"unsorted":false,"formattedCitation":"[7]","plainCitation":"[7]","noteIndex":0},"citationItems":[{"id":26,"uris":["http://zotero.org/users/19904160/items/HYFKKXS7"],"itemData":{"id":26,"type":"webpage","title":"Review of Wind-Assisted Propulsion Systems in Maritime Transport","URL":"https://www.mdpi.com/1996-1073/18/4/897","accessed":{"date-parts":[["2026",3,11]]}}}],"schema":"https://github.com/citation-style-language/schema/raw/master/csl-citation.json"} </w:instrText>
      </w:r>
      <w:r w:rsidR="00084E49">
        <w:fldChar w:fldCharType="separate"/>
      </w:r>
      <w:r w:rsidR="00084E49" w:rsidRPr="00C60D31">
        <w:rPr>
          <w:rFonts w:cs="Times New Roman"/>
        </w:rPr>
        <w:t>[7]</w:t>
      </w:r>
      <w:r w:rsidR="00084E49">
        <w:fldChar w:fldCharType="end"/>
      </w:r>
      <w:r>
        <w:t>, [</w:t>
      </w:r>
      <w:r>
        <w:fldChar w:fldCharType="begin"/>
      </w:r>
      <w:r>
        <w:instrText xml:space="preserve"> REF _Ref_cit_40 \h \* MERGEFORMAT </w:instrText>
      </w:r>
      <w:r>
        <w:fldChar w:fldCharType="separate"/>
      </w:r>
      <w:r w:rsidR="00B0043E" w:rsidRPr="00B0043E">
        <w:t>40</w:t>
      </w:r>
      <w:r>
        <w:fldChar w:fldCharType="end"/>
      </w:r>
      <w:r>
        <w:t xml:space="preserve">]. Για τον λόγο αυτό, η παρούσα ενότητα βασίζεται κυρίως σε μια λεπτομερή μελέτη περίπτωσης, η οποία </w:t>
      </w:r>
      <w:proofErr w:type="spellStart"/>
      <w:r w:rsidRPr="00C60D31">
        <w:t>ποσοτικοποιεί</w:t>
      </w:r>
      <w:proofErr w:type="spellEnd"/>
      <w:r w:rsidRPr="00C60D31">
        <w:t xml:space="preserve"> τις κεφαλαιουχικές δαπάνες ενός συγκεκριμένου πλοίου με και χωρίς WAPS.</w:t>
      </w:r>
    </w:p>
    <w:p w14:paraId="501915D0" w14:textId="30BD7A62" w:rsidR="00020140" w:rsidRDefault="003C7DFB">
      <w:pPr>
        <w:spacing w:line="360" w:lineRule="auto"/>
        <w:ind w:firstLine="576"/>
        <w:jc w:val="both"/>
      </w:pPr>
      <w:r>
        <w:t xml:space="preserve">Στην πλατφόρμα των </w:t>
      </w:r>
      <w:proofErr w:type="spellStart"/>
      <w:r w:rsidR="00312106">
        <w:t>Πλέσσα</w:t>
      </w:r>
      <w:proofErr w:type="spellEnd"/>
      <w:r w:rsidR="00312106">
        <w:t xml:space="preserve"> και Παπανικολάου</w:t>
      </w:r>
      <w:r>
        <w:t xml:space="preserve"> [</w:t>
      </w:r>
      <w:r>
        <w:fldChar w:fldCharType="begin"/>
      </w:r>
      <w:r>
        <w:instrText xml:space="preserve"> REF _Ref_cit_45 \h \* MERGEFORMAT </w:instrText>
      </w:r>
      <w:r>
        <w:fldChar w:fldCharType="separate"/>
      </w:r>
      <w:r w:rsidR="00B0043E" w:rsidRPr="00B0043E">
        <w:t>45</w:t>
      </w:r>
      <w:r>
        <w:fldChar w:fldCharType="end"/>
      </w:r>
      <w:r>
        <w:t>], οι κεφαλαιουχικές δαπάνες ορίζονται ως η αρχική κεφαλαιακή εκταμίευση, η οποία περιλαμβάνει το κόστος ναυπήγησης του πλοίου και το κόστος εγκατάστασης του WAPS, και αντιμετωπίζονται ως ένας από τους τρεις τυπικούς στόχους βελτιστοποίησης, μαζί με τη μεγιστοποίηση της καθαρής παρούσας αξίας (</w:t>
      </w:r>
      <w:proofErr w:type="spellStart"/>
      <w:r>
        <w:t>Net</w:t>
      </w:r>
      <w:proofErr w:type="spellEnd"/>
      <w:r>
        <w:t xml:space="preserve"> </w:t>
      </w:r>
      <w:proofErr w:type="spellStart"/>
      <w:r>
        <w:t>Present</w:t>
      </w:r>
      <w:proofErr w:type="spellEnd"/>
      <w:r>
        <w:t xml:space="preserve"> </w:t>
      </w:r>
      <w:proofErr w:type="spellStart"/>
      <w:r>
        <w:t>Value</w:t>
      </w:r>
      <w:proofErr w:type="spellEnd"/>
      <w:r>
        <w:t xml:space="preserve">, NPV) και την ελαχιστοποίηση των ετήσιων εκπομπών CO₂. Σε εφαρμογή σε φορτηγό πλοίο χύδην ξηρού φορτίου 77,721 DWT που πλέει με 12 κόμβους, η μελέτη αναφέρει ότι η τοποθέτηση τεσσάρων άκαμπτων ιστίων (διάταξη τύπου </w:t>
      </w:r>
      <w:proofErr w:type="spellStart"/>
      <w:r>
        <w:t>Oceanbird</w:t>
      </w:r>
      <w:proofErr w:type="spellEnd"/>
      <w:r>
        <w:t xml:space="preserve">, με ύψος περίπου 40 m και μέση χορδή 14 m το καθένα) αυξάνει τις </w:t>
      </w:r>
      <w:r w:rsidR="003253B6">
        <w:t xml:space="preserve">κεφαλαιουχικές δαπάνες </w:t>
      </w:r>
      <w:r>
        <w:t>από 53.8 εκατομμύρια</w:t>
      </w:r>
      <w:r w:rsidR="00AE3514">
        <w:t xml:space="preserve"> USD</w:t>
      </w:r>
      <w:r>
        <w:t xml:space="preserve"> για το πλοίο αναφοράς χωρίς ιστία σε 63.8 εκατομμύρια</w:t>
      </w:r>
      <w:r w:rsidR="00AE3514">
        <w:t xml:space="preserve"> USD</w:t>
      </w:r>
      <w:r>
        <w:t xml:space="preserve"> για το πλοίο αναφοράς με ιστία — επιπλέον κόστος περίπου 10 εκατομμυρίων</w:t>
      </w:r>
      <w:r w:rsidR="00AE3514">
        <w:t xml:space="preserve"> USD</w:t>
      </w:r>
      <w:r>
        <w:t xml:space="preserve">, ή περίπου 18–19%, που οφείλεται στην εγκατάσταση αιολικής </w:t>
      </w:r>
      <w:r w:rsidR="002709FB">
        <w:t>υποβοήθησης στην πρόωση</w:t>
      </w:r>
      <w:r>
        <w:t>.</w:t>
      </w:r>
    </w:p>
    <w:p w14:paraId="6D66A726" w14:textId="778F68DC" w:rsidR="00020140" w:rsidRPr="004F7CE6" w:rsidRDefault="003C7DFB">
      <w:pPr>
        <w:spacing w:line="360" w:lineRule="auto"/>
        <w:ind w:firstLine="576"/>
        <w:jc w:val="both"/>
      </w:pPr>
      <w:r>
        <w:t>Το επιπλέον αυτό κόστος δεν είναι σταθερό από τη στιγμή που λαμβάνεται η απόφαση εγκατάστασης WAPS</w:t>
      </w:r>
      <w:r w:rsidR="00E00A44">
        <w:rPr>
          <w:rFonts w:cs="Times New Roman"/>
        </w:rPr>
        <w:t>·</w:t>
      </w:r>
      <w:r>
        <w:t xml:space="preserve"> όταν η μορφή της γάστρας, η κύρια μηχανή και η </w:t>
      </w:r>
      <w:r w:rsidR="00E77D05">
        <w:t>προπέλα</w:t>
      </w:r>
      <w:r>
        <w:t xml:space="preserve"> βελτιστοποιούνται από κοινού γύρω από τη δεδομένη διάταξη </w:t>
      </w:r>
      <w:r w:rsidR="009434E7">
        <w:t>άκαμπτων</w:t>
      </w:r>
      <w:r>
        <w:t xml:space="preserve"> ιστίων, αντί τα ιστία να τοποθετούνται σε μη τροποποιημένη γάστρα, η αύξηση μπορεί να περιοριστεί σημαντικά. Ο σχεδιασμός ελάχιστων CAPEX με έναν στόχο στην [</w:t>
      </w:r>
      <w:r>
        <w:fldChar w:fldCharType="begin"/>
      </w:r>
      <w:r>
        <w:instrText xml:space="preserve"> REF _Ref_cit_45 \h \* MERGEFORMAT </w:instrText>
      </w:r>
      <w:r>
        <w:fldChar w:fldCharType="separate"/>
      </w:r>
      <w:r w:rsidR="00B0043E" w:rsidRPr="00B0043E">
        <w:t>45</w:t>
      </w:r>
      <w:r>
        <w:fldChar w:fldCharType="end"/>
      </w:r>
      <w:r>
        <w:t>] επιτυγχάνει 58.3 εκατομμύρια</w:t>
      </w:r>
      <w:r w:rsidR="005C7657">
        <w:t xml:space="preserve"> USD </w:t>
      </w:r>
      <w:r>
        <w:t xml:space="preserve">(περίπου 8.6% κάτω από το πλοίο αναφοράς με ιστία), ενώ ένας ισορροπημένος σχεδιασμός που σταθμίζει εξίσου τις CAPEX, την </w:t>
      </w:r>
      <w:r>
        <w:lastRenderedPageBreak/>
        <w:t>NPV και τις εκπομπές CO₂ επιτυγχάνει 59.1 εκατομμύρια</w:t>
      </w:r>
      <w:r w:rsidR="009A6CF2">
        <w:t xml:space="preserve"> USD</w:t>
      </w:r>
      <w:r>
        <w:t>, δηλαδή μείωση 7% σε σχέση με το πλοίο αναφοράς με ιστία. Η μείωση των CAPEX επιτυ</w:t>
      </w:r>
      <w:r w:rsidR="003C6EF6">
        <w:t>γ</w:t>
      </w:r>
      <w:r>
        <w:t>χάνεται κυρίως μέσω μιας βραχύτερης και πλατύτερης γάστρας με υψηλότερο συντελεστή πληρότητας όγκου (</w:t>
      </w:r>
      <w:proofErr w:type="spellStart"/>
      <w:r>
        <w:t>block</w:t>
      </w:r>
      <w:proofErr w:type="spellEnd"/>
      <w:r>
        <w:t xml:space="preserve"> </w:t>
      </w:r>
      <w:proofErr w:type="spellStart"/>
      <w:r>
        <w:t>coefficient</w:t>
      </w:r>
      <w:proofErr w:type="spellEnd"/>
      <w:r>
        <w:t xml:space="preserve">), η οποία μειώνει το κόστος χάλυβα και ναυπήγησης, αλλά αυξάνει τη φόρτιση της </w:t>
      </w:r>
      <w:r w:rsidR="003C6EF6">
        <w:t>προπέλας</w:t>
      </w:r>
      <w:r>
        <w:t xml:space="preserve">, επιβάλλοντας την επιλογή σημαντικά μεγαλύτερης και ακριβότερης κύριας μηχανής. Η αλληλεπίδραση αυτή μεταξύ γάστρας και μηχανής αποτελεί χρήσιμο ποιοτικό εύρημα για την εκτίμηση των CAPEX: μια βραχύτερη, φθηνότερη γάστρα δεν αποτελεί αναμφίβολα τη λιγότερο δαπανηρή επιλογή όταν ληφθεί υπόψη η </w:t>
      </w:r>
      <w:proofErr w:type="spellStart"/>
      <w:r>
        <w:t>διαστασιολόγηση</w:t>
      </w:r>
      <w:proofErr w:type="spellEnd"/>
      <w:r>
        <w:t xml:space="preserve"> των </w:t>
      </w:r>
      <w:proofErr w:type="spellStart"/>
      <w:r>
        <w:t>προωστήριων</w:t>
      </w:r>
      <w:proofErr w:type="spellEnd"/>
      <w:r>
        <w:t xml:space="preserve"> μηχανημάτων.</w:t>
      </w:r>
    </w:p>
    <w:p w14:paraId="16274DCD" w14:textId="16526140" w:rsidR="00020140" w:rsidRDefault="003C7DFB">
      <w:pPr>
        <w:spacing w:line="360" w:lineRule="auto"/>
        <w:ind w:firstLine="576"/>
        <w:jc w:val="both"/>
      </w:pPr>
      <w:r>
        <w:t>Όσον αφορά τη διάκριση μεταξύ εγκατάστασης σε μετασκευή και σε νέα ναυπήγηση</w:t>
      </w:r>
      <w:r w:rsidR="0078028B">
        <w:t xml:space="preserve"> πλοίου</w:t>
      </w:r>
      <w:r>
        <w:t>, η [</w:t>
      </w:r>
      <w:r>
        <w:fldChar w:fldCharType="begin"/>
      </w:r>
      <w:r>
        <w:instrText xml:space="preserve"> REF _Ref_cit_45 \h \* MERGEFORMAT </w:instrText>
      </w:r>
      <w:r>
        <w:fldChar w:fldCharType="separate"/>
      </w:r>
      <w:r w:rsidR="00B0043E" w:rsidRPr="00B0043E">
        <w:t>45</w:t>
      </w:r>
      <w:r>
        <w:fldChar w:fldCharType="end"/>
      </w:r>
      <w:r>
        <w:t xml:space="preserve">] </w:t>
      </w:r>
      <w:proofErr w:type="spellStart"/>
      <w:r>
        <w:t>μοντελοποιεί</w:t>
      </w:r>
      <w:proofErr w:type="spellEnd"/>
      <w:r>
        <w:t xml:space="preserve"> το </w:t>
      </w:r>
      <w:r w:rsidR="00E85AC4">
        <w:t>σύστημα</w:t>
      </w:r>
      <w:r>
        <w:t xml:space="preserve"> ως εγκατεστημένο κατά την παράδοση και ενσωματωμένο στον </w:t>
      </w:r>
      <w:proofErr w:type="spellStart"/>
      <w:r>
        <w:t>προμελετητικό</w:t>
      </w:r>
      <w:proofErr w:type="spellEnd"/>
      <w:r>
        <w:t xml:space="preserve"> σχεδιασμό ενός νεότευκτου πλοίου, με το μήκος, το πλάτος, το βύθισμα και τον συντελεστή πληρότητας όγκου της γάστρας να αντιμετωπίζονται όλα ως ελεύθερες σχεδιαστικές μεταβλητές εντός ±10% των τιμών του πλοίου αναφοράς. Αυτό συνάδει με τη γενική διάκριση που έγινε νωρίτερα στην παρούσα εργασία, σύμφωνα με την οποία τα νεότευκτα πλοία μπορούν να βελτιστοποιηθούν εξαρχής —με τη μορφή της γάστρας, τη διάταξη των ιστίων, τη διαρρύθμιση του καταστρώματος και τα περιθώρια ευστάθειας να σχεδιάζονται από κοινού—, ενώ οι μετασκευές πρέπει να προσαρμόζονται στους περιορισμούς μιας υφιστάμενης γάστρας και του εύρους ευστάθειάς της, γεγονός που περιορίζει το μέγεθος, τον αριθμό και τη θέση των μονάδων που μπορούν να εγκατασταθούν [</w:t>
      </w:r>
      <w:r>
        <w:fldChar w:fldCharType="begin"/>
      </w:r>
      <w:r>
        <w:instrText xml:space="preserve"> REF _Ref_cit_7 \h \* MERGEFORMAT </w:instrText>
      </w:r>
      <w:r>
        <w:fldChar w:fldCharType="separate"/>
      </w:r>
      <w:r w:rsidR="00B0043E" w:rsidRPr="00B0043E">
        <w:t>7</w:t>
      </w:r>
      <w:r>
        <w:fldChar w:fldCharType="end"/>
      </w:r>
      <w:r>
        <w:t xml:space="preserve">]. Τα αεροδυναμικά δεδομένα και τα δεδομένα κόστους των ίδιων των </w:t>
      </w:r>
      <w:r w:rsidR="00A85FB8">
        <w:t>άκαμπτων</w:t>
      </w:r>
      <w:r>
        <w:t xml:space="preserve"> ιστίων παρασχέθηκαν από τον κατασκευαστή της τεχνολογίας, την </w:t>
      </w:r>
      <w:proofErr w:type="spellStart"/>
      <w:r>
        <w:t>Oceanbird</w:t>
      </w:r>
      <w:proofErr w:type="spellEnd"/>
      <w:r>
        <w:t>, και οι συγγραφείς της [</w:t>
      </w:r>
      <w:r>
        <w:fldChar w:fldCharType="begin"/>
      </w:r>
      <w:r>
        <w:instrText xml:space="preserve"> REF _Ref_cit_45 \h \* MERGEFORMAT </w:instrText>
      </w:r>
      <w:r>
        <w:fldChar w:fldCharType="separate"/>
      </w:r>
      <w:r w:rsidR="00B0043E" w:rsidRPr="00B0043E">
        <w:t>45</w:t>
      </w:r>
      <w:r>
        <w:fldChar w:fldCharType="end"/>
      </w:r>
      <w:r>
        <w:t>] σημειώνουν ότι είναι εμπιστευτικά.</w:t>
      </w:r>
    </w:p>
    <w:p w14:paraId="7CE061A6" w14:textId="77777777" w:rsidR="00020140" w:rsidRDefault="003C7DFB">
      <w:pPr>
        <w:pStyle w:val="30"/>
      </w:pPr>
      <w:bookmarkStart w:id="126" w:name="_Toc243355297"/>
      <w:r>
        <w:t>Λειτουργικές δαπάνες (OPEX)</w:t>
      </w:r>
      <w:bookmarkEnd w:id="126"/>
    </w:p>
    <w:p w14:paraId="643DD769" w14:textId="77777777" w:rsidR="005E581C" w:rsidRPr="005E581C" w:rsidRDefault="005A606E" w:rsidP="005E581C">
      <w:pPr>
        <w:spacing w:line="360" w:lineRule="auto"/>
        <w:ind w:firstLine="576"/>
        <w:jc w:val="both"/>
      </w:pPr>
      <w:r w:rsidRPr="005A606E">
        <w:t>Οι λειτουργικές δαπάνες (</w:t>
      </w:r>
      <w:proofErr w:type="spellStart"/>
      <w:r w:rsidRPr="005A606E">
        <w:t>Operating</w:t>
      </w:r>
      <w:proofErr w:type="spellEnd"/>
      <w:r w:rsidRPr="005A606E">
        <w:t xml:space="preserve"> </w:t>
      </w:r>
      <w:proofErr w:type="spellStart"/>
      <w:r w:rsidRPr="005A606E">
        <w:t>Expenditure</w:t>
      </w:r>
      <w:proofErr w:type="spellEnd"/>
      <w:r w:rsidRPr="005A606E">
        <w:t xml:space="preserve">, OPEX) περιλαμβάνουν το σύνολο των επαναλαμβανόμενων δαπανών που απαιτούνται για την εκμετάλλευση ενός πλοίου καθ' όλη τη διάρκεια της ζωής του, σε αντίθεση με τις κεφαλαιουχικές δαπάνες, οι οποίες καταβάλλονται κυρίως στην αρχή της επένδυσης. Στις δαπάνες αυτές συγκαταλέγονται τα καύσιμα, η μισθοδοσία και η εκπαίδευση του πληρώματος, η συντήρηση και οι επισκευές, η ασφάλιση, τα λιμενικά τέλη και τα έξοδα διαχείρισης, καθώς και το κόστος συμμόρφωσης με το ισχύον κανονιστικό πλαίσιο. Στις περισσότερες κατηγορίες πλοίων τα καύσιμα αποτελούν συνήθως το μεγαλύτερο μέρος </w:t>
      </w:r>
      <w:r w:rsidRPr="005A606E">
        <w:lastRenderedPageBreak/>
        <w:t>του λειτουργικού κόστους, γεγονός που εξηγεί γιατί η μείωση της κατανάλωσης καυσίμου συνιστά το βασικό οικονομικό όφελος των συστημάτων αιολικής υποβοήθησης της πρόωσης (WAPS). Η εγκατάσταση ενός WAPS επηρεάζει τις OPEX και προς τις δύο κατευθύνσεις: από τη μία πλευρά μειώνει τη δαπάνη για καύσιμο και, μέσω της μείωσης των εκπομπών, το κόστος που συνδέεται με τους περιβαλλοντικούς κανονισμούς, από την άλλη προσθέτει νέα στοιχεία κόστους, όπως η συντήρηση του συστήματος, η κατανάλωση βοηθητικής ηλεκτρικής ισχύος και η εκπαίδευση του πληρώματος. Για τον λόγο αυτό, η ορθή αποτίμηση της οικονομικής απόδοσης μιας επένδυσης σε WAPS προϋποθέτει τη συνεκτίμηση όλων αυτών των επιδράσεων και όχι μόνο της εξοικονόμησης καυσίμου.</w:t>
      </w:r>
    </w:p>
    <w:p w14:paraId="470F15A4" w14:textId="6A608E37" w:rsidR="00020140" w:rsidRPr="00C0662E" w:rsidRDefault="003C7DFB" w:rsidP="005E581C">
      <w:pPr>
        <w:spacing w:line="360" w:lineRule="auto"/>
        <w:ind w:firstLine="576"/>
        <w:jc w:val="both"/>
      </w:pPr>
      <w:r>
        <w:t>Η ίδια π</w:t>
      </w:r>
      <w:r w:rsidR="005E581C">
        <w:t>ροσομοίωση</w:t>
      </w:r>
      <w:r>
        <w:t xml:space="preserve"> εκφράζει το συνολικό ετήσιο κόστος ως το άθροισμα των συμβατικών λειτουργικών δαπανών και μιας σειράς όρων κόστους που αφορούν συγκεκριμένους κανονισμούς, </w:t>
      </w:r>
      <w:proofErr w:type="spellStart"/>
      <w:r>
        <w:t>C</w:t>
      </w:r>
      <w:r>
        <w:rPr>
          <w:vertAlign w:val="subscript"/>
        </w:rPr>
        <w:t>annual</w:t>
      </w:r>
      <w:proofErr w:type="spellEnd"/>
      <w:r>
        <w:t xml:space="preserve"> = C</w:t>
      </w:r>
      <w:r>
        <w:rPr>
          <w:vertAlign w:val="subscript"/>
        </w:rPr>
        <w:t>OPEX</w:t>
      </w:r>
      <w:r>
        <w:t xml:space="preserve"> + C</w:t>
      </w:r>
      <w:r>
        <w:rPr>
          <w:vertAlign w:val="subscript"/>
        </w:rPr>
        <w:t>ETS</w:t>
      </w:r>
      <w:r>
        <w:t xml:space="preserve"> + </w:t>
      </w:r>
      <w:proofErr w:type="spellStart"/>
      <w:r>
        <w:t>C</w:t>
      </w:r>
      <w:r>
        <w:rPr>
          <w:vertAlign w:val="subscript"/>
        </w:rPr>
        <w:t>FuelEU</w:t>
      </w:r>
      <w:proofErr w:type="spellEnd"/>
      <w:r>
        <w:t xml:space="preserve"> + C</w:t>
      </w:r>
      <w:r>
        <w:rPr>
          <w:vertAlign w:val="subscript"/>
        </w:rPr>
        <w:t>IMO-NZF</w:t>
      </w:r>
      <w:r>
        <w:t>, όπου το C</w:t>
      </w:r>
      <w:r>
        <w:rPr>
          <w:vertAlign w:val="subscript"/>
        </w:rPr>
        <w:t>OPEX</w:t>
      </w:r>
      <w:r>
        <w:t xml:space="preserve"> ορίζεται ως μια σύνθετη κατηγορία λειτουργικού κόστους, η οποία περιλαμβάνει καύσιμα, πλήρωμα, συντήρηση, ασφάλιση, λιμενικά τέλη και κανονιστικό κόστος [</w:t>
      </w:r>
      <w:r>
        <w:fldChar w:fldCharType="begin"/>
      </w:r>
      <w:r>
        <w:instrText xml:space="preserve"> REF _Ref_cit_45 \h \* MERGEFORMAT </w:instrText>
      </w:r>
      <w:r>
        <w:fldChar w:fldCharType="separate"/>
      </w:r>
      <w:r w:rsidR="00B0043E" w:rsidRPr="00B0043E">
        <w:t>45</w:t>
      </w:r>
      <w:r>
        <w:fldChar w:fldCharType="end"/>
      </w:r>
      <w:r>
        <w:t>]. Οι όροι που αφορούν συγκεκριμένους κανονισμούς εξετάζονται περαιτέρω στην Ενότητα 3.4· το ίδιο το C</w:t>
      </w:r>
      <w:r>
        <w:rPr>
          <w:vertAlign w:val="subscript"/>
        </w:rPr>
        <w:t>OPEX</w:t>
      </w:r>
      <w:r>
        <w:t xml:space="preserve"> δεν αναλύεται περαιτέρω στα αποτελέσματα της μελέτης περίπτωσης.</w:t>
      </w:r>
    </w:p>
    <w:p w14:paraId="28BE03A1" w14:textId="15F46094" w:rsidR="00020140" w:rsidRDefault="003C7DFB">
      <w:pPr>
        <w:spacing w:line="360" w:lineRule="auto"/>
        <w:ind w:firstLine="576"/>
        <w:jc w:val="both"/>
      </w:pPr>
      <w:r>
        <w:t>Μια διάκριση με ιδιαίτερη σημασία για τη δομή των OPEX είναι αυτή μεταξύ παθητικών και ενεργών τεχνολογιών WAPS. Τα άκαμπτα ιστία και τα μαλακά ιστία είναι παθητικά, καθώς παράγουν ώση αποκλειστικά αεροδυναμικά και δεν απαιτούν βοηθητική ισχύ — σε συμφωνία με την περιγραφή της Ενότητας 2.2.1, όπου τα ιστία-</w:t>
      </w:r>
      <w:proofErr w:type="spellStart"/>
      <w:r>
        <w:t>ρότορες</w:t>
      </w:r>
      <w:proofErr w:type="spellEnd"/>
      <w:r>
        <w:t xml:space="preserve"> περιγράφονται ως διατάξεις που απαιτούν τροφοδοσία ισχύος, σε αντίθεση με τα άκαμπτα ιστία, τα οποία χρειάζεται να ενεργοποιούν μόνο ένα μικρό ελεγχόμενο πτερύγιο</w:t>
      </w:r>
      <w:r w:rsidR="006923E3">
        <w:t xml:space="preserve"> ουράς</w:t>
      </w:r>
      <w:r>
        <w:t xml:space="preserve"> [</w:t>
      </w:r>
      <w:r>
        <w:fldChar w:fldCharType="begin"/>
      </w:r>
      <w:r>
        <w:instrText xml:space="preserve"> REF _Ref_cit_39 \h \* MERGEFORMAT </w:instrText>
      </w:r>
      <w:r>
        <w:fldChar w:fldCharType="separate"/>
      </w:r>
      <w:r w:rsidR="00B0043E" w:rsidRPr="00B0043E">
        <w:t>39</w:t>
      </w:r>
      <w:r>
        <w:fldChar w:fldCharType="end"/>
      </w:r>
      <w:r>
        <w:t>], [</w:t>
      </w:r>
      <w:r>
        <w:fldChar w:fldCharType="begin"/>
      </w:r>
      <w:r>
        <w:instrText xml:space="preserve"> REF _Ref_cit_43 \h \* MERGEFORMAT </w:instrText>
      </w:r>
      <w:r>
        <w:fldChar w:fldCharType="separate"/>
      </w:r>
      <w:r w:rsidR="00B0043E" w:rsidRPr="00B0043E">
        <w:t>43</w:t>
      </w:r>
      <w:r>
        <w:fldChar w:fldCharType="end"/>
      </w:r>
      <w:r>
        <w:t>]. Τα ιστία-</w:t>
      </w:r>
      <w:proofErr w:type="spellStart"/>
      <w:r>
        <w:t>ρότορες</w:t>
      </w:r>
      <w:proofErr w:type="spellEnd"/>
      <w:r>
        <w:t xml:space="preserve"> και οι πτέρυγες αναρρόφησης είναι ενεργά συστήματα: τα ιστία-</w:t>
      </w:r>
      <w:proofErr w:type="spellStart"/>
      <w:r>
        <w:t>ρότορες</w:t>
      </w:r>
      <w:proofErr w:type="spellEnd"/>
      <w:r>
        <w:t xml:space="preserve"> κινούνται από ηλεκτροκινητήρες, ενώ οι πτέρυγες αναρρόφησης βασίζονται σε ενσωματωμένους ανεμιστήρες που αναρροφούν αέρα μέσω πορώδους επιφάνειας για να καθυστερήσουν την αποκόλληση του οριακού στρώματος· και τα δύο απαιτούν συνεχή τροφοδοσία βοηθητικής ηλεκτρικής ισχύος [</w:t>
      </w:r>
      <w:r>
        <w:fldChar w:fldCharType="begin"/>
      </w:r>
      <w:r>
        <w:instrText xml:space="preserve"> REF _Ref_cit_39 \h \* MERGEFORMAT </w:instrText>
      </w:r>
      <w:r>
        <w:fldChar w:fldCharType="separate"/>
      </w:r>
      <w:r w:rsidR="00B0043E" w:rsidRPr="00B0043E">
        <w:t>39</w:t>
      </w:r>
      <w:r>
        <w:fldChar w:fldCharType="end"/>
      </w:r>
      <w:r>
        <w:t>], [</w:t>
      </w:r>
      <w:r>
        <w:fldChar w:fldCharType="begin"/>
      </w:r>
      <w:r>
        <w:instrText xml:space="preserve"> REF _Ref_cit_42 \h \* MERGEFORMAT </w:instrText>
      </w:r>
      <w:r>
        <w:fldChar w:fldCharType="separate"/>
      </w:r>
      <w:r w:rsidR="00B0043E" w:rsidRPr="00B0043E">
        <w:t>42</w:t>
      </w:r>
      <w:r>
        <w:fldChar w:fldCharType="end"/>
      </w:r>
      <w:r>
        <w:t>]. Η πλατφόρμα της [</w:t>
      </w:r>
      <w:r>
        <w:fldChar w:fldCharType="begin"/>
      </w:r>
      <w:r>
        <w:instrText xml:space="preserve"> REF _Ref_cit_45 \h \* MERGEFORMAT </w:instrText>
      </w:r>
      <w:r>
        <w:fldChar w:fldCharType="separate"/>
      </w:r>
      <w:r w:rsidR="00B0043E" w:rsidRPr="00B0043E">
        <w:t>45</w:t>
      </w:r>
      <w:r>
        <w:fldChar w:fldCharType="end"/>
      </w:r>
      <w:r>
        <w:t xml:space="preserve">] αποτυπώνει τη διάκριση αυτή στην αρχιτεκτονική της, απαιτώντας ως τυπικό δεδομένο εισόδου για τα ενεργά WAPS «προφίλ κατανάλωσης ισχύος ως συναρτήσεις των χαρακτηριστικών του ανέμου», επιπλέον των συντελεστών </w:t>
      </w:r>
      <w:proofErr w:type="spellStart"/>
      <w:r>
        <w:t>άντωσης</w:t>
      </w:r>
      <w:proofErr w:type="spellEnd"/>
      <w:r>
        <w:t xml:space="preserve"> και </w:t>
      </w:r>
      <w:r w:rsidR="00BB71F5">
        <w:t>αντίστασης</w:t>
      </w:r>
      <w:r>
        <w:t xml:space="preserve"> που χρησιμοποιούνται για τα παθητικά </w:t>
      </w:r>
      <w:r>
        <w:lastRenderedPageBreak/>
        <w:t>συστήματα. Η ίδια η μελέτη περίπτωσης χρησιμοποιεί παθητική διάταξη άκαμπτων ιστίων, οπότε στα αποτελέσματα κόστους της δεν υπεισέρχεται κατανάλωση βοηθητικής ηλεκτρικής ισχύος, αν και τα ιστία-</w:t>
      </w:r>
      <w:proofErr w:type="spellStart"/>
      <w:r>
        <w:t>ρότορες</w:t>
      </w:r>
      <w:proofErr w:type="spellEnd"/>
      <w:r>
        <w:t xml:space="preserve"> περιγράφονται σε άλλες πηγές ως διατάξεις που καταναλώνουν σχετικά μικρή ισχύ σε σύγκριση με την προωστική ώση που παράγουν [</w:t>
      </w:r>
      <w:r>
        <w:fldChar w:fldCharType="begin"/>
      </w:r>
      <w:r>
        <w:instrText xml:space="preserve"> REF _Ref_cit_39 \h \* MERGEFORMAT </w:instrText>
      </w:r>
      <w:r>
        <w:fldChar w:fldCharType="separate"/>
      </w:r>
      <w:r w:rsidR="00B0043E" w:rsidRPr="00B0043E">
        <w:t>39</w:t>
      </w:r>
      <w:r>
        <w:fldChar w:fldCharType="end"/>
      </w:r>
      <w:r>
        <w:t>].</w:t>
      </w:r>
    </w:p>
    <w:p w14:paraId="1C9E032B" w14:textId="3A0CBE17" w:rsidR="00020140" w:rsidRDefault="003C7DFB">
      <w:pPr>
        <w:spacing w:line="360" w:lineRule="auto"/>
        <w:ind w:firstLine="576"/>
        <w:jc w:val="both"/>
      </w:pPr>
      <w:r>
        <w:t>Ένας ακόμη παράγοντας σχετικός με τις OPEX που εντοπίζεται στην [</w:t>
      </w:r>
      <w:r>
        <w:fldChar w:fldCharType="begin"/>
      </w:r>
      <w:r>
        <w:instrText xml:space="preserve"> REF _Ref_cit_45 \h \* MERGEFORMAT </w:instrText>
      </w:r>
      <w:r>
        <w:fldChar w:fldCharType="separate"/>
      </w:r>
      <w:r w:rsidR="00B0043E" w:rsidRPr="00B0043E">
        <w:t>45</w:t>
      </w:r>
      <w:r>
        <w:fldChar w:fldCharType="end"/>
      </w:r>
      <w:r>
        <w:t xml:space="preserve">] είναι επιχειρησιακός και όχι αμιγώς οικονομικός: τα πλοία με WAPS υφίστανται ιδιαίτερα μεταβλητά φορτία πρόωσης, καθώς η συμβολή του ανέμου διακυμαίνεται, γεγονός που μπορεί να ωθήσει την κύρια μηχανή σε περιοχές πολύ χαμηλού φορτίου και χαμηλής απόδοσης, οι οποίες απαιτούν ενεργή διαχείριση, όπως προσαρμογή της ταχύτητας του πλοίου ή μείωση της φόρτισης των ιστίων. Οι </w:t>
      </w:r>
      <w:r w:rsidR="00BF5048">
        <w:t>προπέλες</w:t>
      </w:r>
      <w:r>
        <w:t xml:space="preserve"> μεταβλητού βήματος (</w:t>
      </w:r>
      <w:proofErr w:type="spellStart"/>
      <w:r>
        <w:t>Controllable</w:t>
      </w:r>
      <w:proofErr w:type="spellEnd"/>
      <w:r>
        <w:t xml:space="preserve"> </w:t>
      </w:r>
      <w:proofErr w:type="spellStart"/>
      <w:r>
        <w:t>Pitch</w:t>
      </w:r>
      <w:proofErr w:type="spellEnd"/>
      <w:r>
        <w:t xml:space="preserve"> </w:t>
      </w:r>
      <w:proofErr w:type="spellStart"/>
      <w:r>
        <w:t>Propellers</w:t>
      </w:r>
      <w:proofErr w:type="spellEnd"/>
      <w:r>
        <w:t xml:space="preserve">, CPP) κρίνονται καταλληλότερες από τις </w:t>
      </w:r>
      <w:r w:rsidR="00086840">
        <w:t>προπέλες</w:t>
      </w:r>
      <w:r>
        <w:t xml:space="preserve"> σταθερού βήματος (</w:t>
      </w:r>
      <w:proofErr w:type="spellStart"/>
      <w:r>
        <w:t>Fixed</w:t>
      </w:r>
      <w:proofErr w:type="spellEnd"/>
      <w:r>
        <w:t xml:space="preserve"> </w:t>
      </w:r>
      <w:proofErr w:type="spellStart"/>
      <w:r>
        <w:t>Pitch</w:t>
      </w:r>
      <w:proofErr w:type="spellEnd"/>
      <w:r>
        <w:t xml:space="preserve"> </w:t>
      </w:r>
      <w:proofErr w:type="spellStart"/>
      <w:r>
        <w:t>Propellers</w:t>
      </w:r>
      <w:proofErr w:type="spellEnd"/>
      <w:r>
        <w:t xml:space="preserve">, FPP) για την αντιμετώπιση αυτής της μεταβλητότητας, αν και η ίδια η μελέτη περίπτωσης υποθέτει έλικα FPP για λόγους απλούστευσης της </w:t>
      </w:r>
      <w:proofErr w:type="spellStart"/>
      <w:r>
        <w:t>μοντελοποίησης</w:t>
      </w:r>
      <w:proofErr w:type="spellEnd"/>
      <w:r>
        <w:t>. Αυτό αντανακλά έναν συμβιβασμό</w:t>
      </w:r>
      <w:r w:rsidR="00C04CC0">
        <w:t xml:space="preserve"> της περίπτωσης</w:t>
      </w:r>
      <w:r>
        <w:t xml:space="preserve"> μεταξύ συντήρησης και ευελιξίας, ανάμεσα στην πρόσθετη μηχανική πολυπλοκότητα μιας </w:t>
      </w:r>
      <w:r w:rsidR="00C04CC0">
        <w:t>προπέλας</w:t>
      </w:r>
      <w:r>
        <w:t xml:space="preserve"> CPP και στην ικανότητά της να προσαρμόζεται στη διακυμαινόμενη ώση των WAPS.</w:t>
      </w:r>
    </w:p>
    <w:p w14:paraId="74EC4DA1" w14:textId="2E223C29" w:rsidR="00020140" w:rsidRDefault="003C7DFB">
      <w:pPr>
        <w:spacing w:line="360" w:lineRule="auto"/>
        <w:ind w:firstLine="576"/>
        <w:jc w:val="both"/>
      </w:pPr>
      <w:r>
        <w:t>Το κόστος ασφάλισης και εκπαίδευσης του πληρώματος, οι υπόλοιπες συνιστώσες του C</w:t>
      </w:r>
      <w:r>
        <w:rPr>
          <w:vertAlign w:val="subscript"/>
        </w:rPr>
        <w:t xml:space="preserve">OPEX </w:t>
      </w:r>
      <w:r>
        <w:t>που προσδιορίζονται στην [</w:t>
      </w:r>
      <w:r>
        <w:fldChar w:fldCharType="begin"/>
      </w:r>
      <w:r>
        <w:instrText xml:space="preserve"> REF _Ref_cit_45 \h \* MERGEFORMAT </w:instrText>
      </w:r>
      <w:r>
        <w:fldChar w:fldCharType="separate"/>
      </w:r>
      <w:r w:rsidR="00B0043E" w:rsidRPr="00B0043E">
        <w:t>45</w:t>
      </w:r>
      <w:r>
        <w:fldChar w:fldCharType="end"/>
      </w:r>
      <w:r>
        <w:t>], εξετάζονται μόνο ποιοτικά στις πηγές που επισκοπούνται στην παρούσα εργασία. Όσον αφορά την εκπαίδευση του πληρώματος, ο απαιτούμενος βαθμός αυτοματοποίησης διαφέρει σημαντικά ανά τεχνολογία: για τα συστήματα χαρταετού αναφέρεται ότι απαιτούν ελάχιστη παρέμβαση του πληρώματος πέρα από μια ειδική μονάδα ελέγχου στη γέφυρα, καθώς η απελευθέρωση, η ανάκτηση και η βελτιστοποίηση της τροχιάς πτήσης είναι σε μεγάλο βαθμό αυτοματοποιημένες [</w:t>
      </w:r>
      <w:r>
        <w:fldChar w:fldCharType="begin"/>
      </w:r>
      <w:r>
        <w:instrText xml:space="preserve"> REF _Ref_cit_44 \h \* MERGEFORMAT </w:instrText>
      </w:r>
      <w:r>
        <w:fldChar w:fldCharType="separate"/>
      </w:r>
      <w:r w:rsidR="00B0043E" w:rsidRPr="00B0043E">
        <w:t>44</w:t>
      </w:r>
      <w:r>
        <w:fldChar w:fldCharType="end"/>
      </w:r>
      <w:r>
        <w:t>], ενώ και οι πτέρυγες αναρρόφησης περιγράφονται ως διατάξεις που προσαρμόζονται αυτόματα στην επικρατούσα διεύθυνση του ανέμου [</w:t>
      </w:r>
      <w:r>
        <w:fldChar w:fldCharType="begin"/>
      </w:r>
      <w:r>
        <w:instrText xml:space="preserve"> REF _Ref_cit_42 \h \* MERGEFORMAT </w:instrText>
      </w:r>
      <w:r>
        <w:fldChar w:fldCharType="separate"/>
      </w:r>
      <w:r w:rsidR="00B0043E" w:rsidRPr="00B0043E">
        <w:t>42</w:t>
      </w:r>
      <w:r>
        <w:fldChar w:fldCharType="end"/>
      </w:r>
      <w:r>
        <w:t>]. Αντίθετα, τα ιστία-</w:t>
      </w:r>
      <w:proofErr w:type="spellStart"/>
      <w:r>
        <w:t>ρότορες</w:t>
      </w:r>
      <w:proofErr w:type="spellEnd"/>
      <w:r>
        <w:t xml:space="preserve">, αν και ηλεκτροκίνητα και με σχετικά χαμηλή κατανάλωση ενέργειας σε σχέση με την ώση που παράγουν, εξακολουθούν να απαιτούν επιχειρησιακή παρακολούθηση της ισορροπίας μεταξύ της ταχύτητας του </w:t>
      </w:r>
      <w:proofErr w:type="spellStart"/>
      <w:r>
        <w:t>ρότορα</w:t>
      </w:r>
      <w:proofErr w:type="spellEnd"/>
      <w:r>
        <w:t>, του φαινόμενου ανέμου και του φορτίου της κύριας μηχανής, ώστε να επιτευχθεί η αναφερόμενη εξοικονόμηση καυσίμου [</w:t>
      </w:r>
      <w:r>
        <w:fldChar w:fldCharType="begin"/>
      </w:r>
      <w:r>
        <w:instrText xml:space="preserve"> REF _Ref_cit_39 \h \* MERGEFORMAT </w:instrText>
      </w:r>
      <w:r>
        <w:fldChar w:fldCharType="separate"/>
      </w:r>
      <w:r w:rsidR="00B0043E" w:rsidRPr="00B0043E">
        <w:t>39</w:t>
      </w:r>
      <w:r>
        <w:fldChar w:fldCharType="end"/>
      </w:r>
      <w:r>
        <w:t>], [</w:t>
      </w:r>
      <w:r>
        <w:fldChar w:fldCharType="begin"/>
      </w:r>
      <w:r>
        <w:instrText xml:space="preserve"> REF _Ref_cit_40 \h \* MERGEFORMAT </w:instrText>
      </w:r>
      <w:r>
        <w:fldChar w:fldCharType="separate"/>
      </w:r>
      <w:r w:rsidR="00B0043E" w:rsidRPr="00B0043E">
        <w:t>40</w:t>
      </w:r>
      <w:r>
        <w:fldChar w:fldCharType="end"/>
      </w:r>
      <w:r>
        <w:t xml:space="preserve">]. Όσον αφορά την ασφάλιση, το πρόσθετο βάρος σε υψηλή θέση και η πρόσθετη επιφάνεια έκθεσης </w:t>
      </w:r>
      <w:r>
        <w:lastRenderedPageBreak/>
        <w:t>στον άνεμο που εισάγουν τα ιστία-</w:t>
      </w:r>
      <w:proofErr w:type="spellStart"/>
      <w:r>
        <w:t>ρότορες</w:t>
      </w:r>
      <w:proofErr w:type="spellEnd"/>
      <w:r>
        <w:t xml:space="preserve">, τα άκαμπτα ιστία και οι πτέρυγες αναρρόφησης ανυψώνουν το κέντρο βάρους του πλοίου και μειώνουν το </w:t>
      </w:r>
      <w:proofErr w:type="spellStart"/>
      <w:r>
        <w:t>μετακεντρικό</w:t>
      </w:r>
      <w:proofErr w:type="spellEnd"/>
      <w:r>
        <w:t xml:space="preserve"> του ύψος· έτσι, η ευστάθεια άθικτου πλοίου και η ευστάθεια σε βλάβη πρέπει να επαναξιολογούνται έναντι των απαιτήσεων των νηογνωμόνων και των ασφαλιστών, ζήτημα που επισημαίνεται ως ιδιαίτερα σημαντικό για τις μετασκευές γαστρών που δεν είχαν αρχικά σχεδιαστεί για να φέρουν πρόσθετες κατασκευές πάνω από το κατάστρωμα [</w:t>
      </w:r>
      <w:r>
        <w:fldChar w:fldCharType="begin"/>
      </w:r>
      <w:r>
        <w:instrText xml:space="preserve"> REF _Ref_cit_39 \h \* MERGEFORMAT </w:instrText>
      </w:r>
      <w:r>
        <w:fldChar w:fldCharType="separate"/>
      </w:r>
      <w:r w:rsidR="00B0043E" w:rsidRPr="00B0043E">
        <w:t>39</w:t>
      </w:r>
      <w:r>
        <w:fldChar w:fldCharType="end"/>
      </w:r>
      <w:r>
        <w:t>], [</w:t>
      </w:r>
      <w:r>
        <w:fldChar w:fldCharType="begin"/>
      </w:r>
      <w:r>
        <w:instrText xml:space="preserve"> REF _Ref_cit_42 \h \* MERGEFORMAT </w:instrText>
      </w:r>
      <w:r>
        <w:fldChar w:fldCharType="separate"/>
      </w:r>
      <w:r w:rsidR="00B0043E" w:rsidRPr="00B0043E">
        <w:t>42</w:t>
      </w:r>
      <w:r>
        <w:fldChar w:fldCharType="end"/>
      </w:r>
      <w:r>
        <w:t>].</w:t>
      </w:r>
    </w:p>
    <w:p w14:paraId="286AFE7E" w14:textId="77777777" w:rsidR="00020140" w:rsidRDefault="003C7DFB">
      <w:pPr>
        <w:pStyle w:val="20"/>
      </w:pPr>
      <w:bookmarkStart w:id="127" w:name="_Toc243355298"/>
      <w:r>
        <w:t>Εξοικονόμηση καυσίμου και δεδομένα επιδόσεων στη βιβλιογραφία</w:t>
      </w:r>
      <w:bookmarkEnd w:id="127"/>
    </w:p>
    <w:p w14:paraId="2BB1FBEB" w14:textId="219071E0" w:rsidR="00020140" w:rsidRDefault="003C7DFB">
      <w:pPr>
        <w:spacing w:line="360" w:lineRule="auto"/>
        <w:ind w:firstLine="576"/>
        <w:jc w:val="both"/>
      </w:pPr>
      <w:r>
        <w:t>Τα αναφερόμενα στοιχεία εξοικονόμησης καυσίμου και ενέργειας για τα WAPS διαφέρουν σημαντικά, ανάλογα με το αν περιγράφουν την τεχνολογία γενικά, μια συγκεκριμένη οικογένεια τεχνολογιών ή μια μεμονωμένη, λεπτομερή μελέτη περίπτωσης σχεδιασμού, και η παρούσα εργασία αντλεί στοιχεία και από τα τρία αυτά επίπεδα. Στο γενικότερο επίπεδο, έχει αναφερθεί ότι τα WAPS μπορούν να καλύψουν το 5–20% των ενεργειακών αναγκών πρόωσης ενός πλοίου, ποσοστό που ξεπερνά το 50% σε διατάξεις όπου η αιολική πρόωση αποτελεί την κύρια και όχι βοηθητική πηγή ενέργειας [</w:t>
      </w:r>
      <w:r>
        <w:fldChar w:fldCharType="begin"/>
      </w:r>
      <w:r>
        <w:instrText xml:space="preserve"> REF _Ref_cit_34 \h \* MERGEFORMAT </w:instrText>
      </w:r>
      <w:r>
        <w:fldChar w:fldCharType="separate"/>
      </w:r>
      <w:r w:rsidR="00B0043E" w:rsidRPr="00B0043E">
        <w:t>34</w:t>
      </w:r>
      <w:r>
        <w:fldChar w:fldCharType="end"/>
      </w:r>
      <w:r>
        <w:t>]. Η παρατηρούμενη εξοικονόμηση καυσίμου μεταξύ διαφόρων διαχειριστών έχει αναφερθεί έως 9%, αυξανόμενη σε περίπου 25% όταν συνδυάζεται με βελτιστοποίηση της διαδρομής για εγκαταστάσεις μετασκευής, ενώ τα νεότευκτα πλοία —που σχεδιάζονται εξαρχής για να φέρουν συστήματα ιστίων— ενδέχεται να επιτύχουν ακόμη μεγαλύτερη εξοικονόμηση [</w:t>
      </w:r>
      <w:r>
        <w:fldChar w:fldCharType="begin"/>
      </w:r>
      <w:r>
        <w:instrText xml:space="preserve"> REF _Ref_cit_36 \h \* MERGEFORMAT </w:instrText>
      </w:r>
      <w:r>
        <w:fldChar w:fldCharType="separate"/>
      </w:r>
      <w:r w:rsidR="00B0043E" w:rsidRPr="00B0043E">
        <w:t>36</w:t>
      </w:r>
      <w:r>
        <w:fldChar w:fldCharType="end"/>
      </w:r>
      <w:r>
        <w:t>].</w:t>
      </w:r>
    </w:p>
    <w:p w14:paraId="661A3F89" w14:textId="3BC23844" w:rsidR="00020140" w:rsidRDefault="003C7DFB" w:rsidP="00B96DC0">
      <w:pPr>
        <w:spacing w:line="360" w:lineRule="auto"/>
        <w:ind w:firstLine="576"/>
        <w:jc w:val="both"/>
      </w:pPr>
      <w:r>
        <w:t>Σε επίπεδο τεχνολογίας, τα ιστία-</w:t>
      </w:r>
      <w:proofErr w:type="spellStart"/>
      <w:r>
        <w:t>ρότορες</w:t>
      </w:r>
      <w:proofErr w:type="spellEnd"/>
      <w:r>
        <w:t xml:space="preserve"> διαθέτουν το πιο σταθερ</w:t>
      </w:r>
      <w:r w:rsidR="00DA5695">
        <w:t xml:space="preserve">ό </w:t>
      </w:r>
      <w:r>
        <w:t>εύρος εξοικονόμησης στη βιβλιογραφία που εξετάστηκε</w:t>
      </w:r>
      <w:r w:rsidR="00443629">
        <w:t>·</w:t>
      </w:r>
      <w:r>
        <w:t xml:space="preserve"> οι εμπορικές εγκαταστάσεις αναφέρουν εξοικονόμηση καυσίμου συνήθως μεταξύ 4% και 15%, με τιμές έως και 25% υπό ευνοϊκές συνθήκες λειτουργίας [</w:t>
      </w:r>
      <w:r>
        <w:fldChar w:fldCharType="begin"/>
      </w:r>
      <w:r>
        <w:instrText xml:space="preserve"> REF _Ref_cit_39 \h \* MERGEFORMAT </w:instrText>
      </w:r>
      <w:r>
        <w:fldChar w:fldCharType="separate"/>
      </w:r>
      <w:r w:rsidR="00B0043E" w:rsidRPr="00B0043E">
        <w:t>39</w:t>
      </w:r>
      <w:r>
        <w:fldChar w:fldCharType="end"/>
      </w:r>
      <w:r>
        <w:t>], ενώ το ίδιο εύρος αναφέρεται γενικότερα για εγκαταστάσεις WAPS σε μετασκευές, ανεξαρτήτως τεχνολογίας [</w:t>
      </w:r>
      <w:r>
        <w:fldChar w:fldCharType="begin"/>
      </w:r>
      <w:r>
        <w:instrText xml:space="preserve"> REF _Ref_cit_7 \h \* MERGEFORMAT </w:instrText>
      </w:r>
      <w:r>
        <w:fldChar w:fldCharType="separate"/>
      </w:r>
      <w:r w:rsidR="00B0043E" w:rsidRPr="00B0043E">
        <w:t>7</w:t>
      </w:r>
      <w:r>
        <w:fldChar w:fldCharType="end"/>
      </w:r>
      <w:r>
        <w:t>], [</w:t>
      </w:r>
      <w:r>
        <w:fldChar w:fldCharType="begin"/>
      </w:r>
      <w:r>
        <w:instrText xml:space="preserve"> REF _Ref_cit_34 \h \* MERGEFORMAT </w:instrText>
      </w:r>
      <w:r>
        <w:fldChar w:fldCharType="separate"/>
      </w:r>
      <w:r w:rsidR="00B0043E" w:rsidRPr="00B0043E">
        <w:t>34</w:t>
      </w:r>
      <w:r>
        <w:fldChar w:fldCharType="end"/>
      </w:r>
      <w:r>
        <w:t>], [</w:t>
      </w:r>
      <w:r>
        <w:fldChar w:fldCharType="begin"/>
      </w:r>
      <w:r>
        <w:instrText xml:space="preserve"> REF _Ref_cit_39 \h \* MERGEFORMAT </w:instrText>
      </w:r>
      <w:r>
        <w:fldChar w:fldCharType="separate"/>
      </w:r>
      <w:r w:rsidR="00B0043E" w:rsidRPr="00B0043E">
        <w:t>39</w:t>
      </w:r>
      <w:r>
        <w:fldChar w:fldCharType="end"/>
      </w:r>
      <w:r>
        <w:t xml:space="preserve">]. Για τις πτέρυγες αναρρόφησης αναφέρεται ότι επιτυγχάνουν προωστική επίδοση συγκρίσιμη με εκείνη των συμβατικών ιστίων με σημαντικά μικρότερο φυσικό μέγεθος, χάρη στον υψηλό λόγο </w:t>
      </w:r>
      <w:proofErr w:type="spellStart"/>
      <w:r>
        <w:t>άντωσης</w:t>
      </w:r>
      <w:proofErr w:type="spellEnd"/>
      <w:r>
        <w:t xml:space="preserve"> προς μέγεθος, γεγονός που παρουσιάζεται στη βιβλιογραφία ως οδός για τη μείωση της κατανάλωσης καυσίμου και των εκπομπών αερίων θερμοκηπίου [</w:t>
      </w:r>
      <w:r>
        <w:fldChar w:fldCharType="begin"/>
      </w:r>
      <w:r>
        <w:instrText xml:space="preserve"> REF _Ref_cit_41 \h \* MERGEFORMAT </w:instrText>
      </w:r>
      <w:r>
        <w:fldChar w:fldCharType="separate"/>
      </w:r>
      <w:r w:rsidR="00B0043E" w:rsidRPr="00B0043E">
        <w:t>41</w:t>
      </w:r>
      <w:r>
        <w:fldChar w:fldCharType="end"/>
      </w:r>
      <w:r>
        <w:t>], [</w:t>
      </w:r>
      <w:r>
        <w:fldChar w:fldCharType="begin"/>
      </w:r>
      <w:r>
        <w:instrText xml:space="preserve"> REF _Ref_cit_42 \h \* MERGEFORMAT </w:instrText>
      </w:r>
      <w:r>
        <w:fldChar w:fldCharType="separate"/>
      </w:r>
      <w:r w:rsidR="00B0043E" w:rsidRPr="00B0043E">
        <w:t>42</w:t>
      </w:r>
      <w:r>
        <w:fldChar w:fldCharType="end"/>
      </w:r>
      <w:r>
        <w:t xml:space="preserve">]. Τα άκαμπτα ιστία περιγράφονται με όρους μεγαλύτερης δομικής σταθερότητας, υψηλότερων συντελεστών </w:t>
      </w:r>
      <w:proofErr w:type="spellStart"/>
      <w:r>
        <w:t>άντωσης</w:t>
      </w:r>
      <w:proofErr w:type="spellEnd"/>
      <w:r>
        <w:t xml:space="preserve"> και βελτιωμένης αεροδυναμικής απόδοσης σε σχέση με τα συμβατικά υφασμάτινα ιστία </w:t>
      </w:r>
      <w:r>
        <w:lastRenderedPageBreak/>
        <w:t>[</w:t>
      </w:r>
      <w:r>
        <w:fldChar w:fldCharType="begin"/>
      </w:r>
      <w:r>
        <w:instrText xml:space="preserve"> REF _Ref_cit_43 \h \* MERGEFORMAT </w:instrText>
      </w:r>
      <w:r>
        <w:fldChar w:fldCharType="separate"/>
      </w:r>
      <w:r w:rsidR="00B0043E" w:rsidRPr="00B0043E">
        <w:t>43</w:t>
      </w:r>
      <w:r>
        <w:fldChar w:fldCharType="end"/>
      </w:r>
      <w:r>
        <w:t>]. Για τα ιστία-χαρταετούς αναφέρεται ότι αποδίδουν ώση ισοδύναμη με περίπου 2 MW ισχύος της κύριας μηχανής υπό ευνοϊκές συνθήκες ανέμου [</w:t>
      </w:r>
      <w:r>
        <w:fldChar w:fldCharType="begin"/>
      </w:r>
      <w:r>
        <w:instrText xml:space="preserve"> REF _Ref_cit_44 \h \* MERGEFORMAT </w:instrText>
      </w:r>
      <w:r>
        <w:fldChar w:fldCharType="separate"/>
      </w:r>
      <w:r w:rsidR="00B0043E" w:rsidRPr="00B0043E">
        <w:t>44</w:t>
      </w:r>
      <w:r>
        <w:fldChar w:fldCharType="end"/>
      </w:r>
      <w:r>
        <w:t xml:space="preserve">]. Η εφαρμογή άκαμπτων ιστίων των </w:t>
      </w:r>
      <w:proofErr w:type="spellStart"/>
      <w:r w:rsidR="00312106">
        <w:t>Πλέσσα</w:t>
      </w:r>
      <w:proofErr w:type="spellEnd"/>
      <w:r w:rsidR="00312106">
        <w:t xml:space="preserve"> και Παπανικολάου</w:t>
      </w:r>
      <w:r>
        <w:t xml:space="preserve"> [</w:t>
      </w:r>
      <w:r>
        <w:fldChar w:fldCharType="begin"/>
      </w:r>
      <w:r>
        <w:instrText xml:space="preserve"> REF _Ref_cit_45 \h \* MERGEFORMAT </w:instrText>
      </w:r>
      <w:r>
        <w:fldChar w:fldCharType="separate"/>
      </w:r>
      <w:r w:rsidR="00B0043E" w:rsidRPr="00B0043E">
        <w:t>45</w:t>
      </w:r>
      <w:r>
        <w:fldChar w:fldCharType="end"/>
      </w:r>
      <w:r>
        <w:t xml:space="preserve">] διαφέρει ως προς τη φύση της, καθώς </w:t>
      </w:r>
      <w:proofErr w:type="spellStart"/>
      <w:r>
        <w:t>ποσοτικοποιεί</w:t>
      </w:r>
      <w:proofErr w:type="spellEnd"/>
      <w:r>
        <w:t xml:space="preserve"> την εξοικονόμηση για ένα συγκεκριμένο πλοίο και μία διαδρομή και όχι ένα εύρος για το σύνολο του κλάδου. Η τοποθέτηση τεσσάρων άκαμπτων ιστίων στο φορτηγό πλοίο χύδην ξηρού φορτίου αναφοράς, χωρίς άλλη τροποποίηση της γάστρας, μειώνει τις ετήσιες εκπομπές ισοδύναμου CO₂ από 21</w:t>
      </w:r>
      <w:r w:rsidR="002A5009">
        <w:t>.</w:t>
      </w:r>
      <w:r>
        <w:t>898 t σε 20</w:t>
      </w:r>
      <w:r w:rsidR="002A5009">
        <w:t>.</w:t>
      </w:r>
      <w:r>
        <w:t xml:space="preserve">700 t, δηλαδή κατά περίπου 5.5%. Όταν, επιπλέον, η μορφή της γάστρας, η κύρια μηχανή και η </w:t>
      </w:r>
      <w:r w:rsidR="002B4D4A">
        <w:t>προπέλα</w:t>
      </w:r>
      <w:r>
        <w:t xml:space="preserve"> βελτιστοποιούνται από κοινού γύρω από τη δεδομένη διάταξη </w:t>
      </w:r>
      <w:r w:rsidR="00591DC9">
        <w:t xml:space="preserve">άκαμπτων </w:t>
      </w:r>
      <w:r>
        <w:t>ιστίων, καθίστανται εφικτές μεγαλύτερες μειώσεις</w:t>
      </w:r>
      <w:r w:rsidR="00591DC9">
        <w:t>·</w:t>
      </w:r>
      <w:r>
        <w:t xml:space="preserve"> ένας ισορροπημένος σχεδιασμός πολλαπλών στόχων φθάνει τους 18</w:t>
      </w:r>
      <w:r w:rsidR="002A5009">
        <w:t>.</w:t>
      </w:r>
      <w:r>
        <w:t>100 t CO₂ (περίπου 12–13% κάτω από το πλοίο αναφοράς με ιστία), ενώ ένας σχεδιασμός βελτιστοποιημένος αποκλειστικά για ελάχιστες εκπομπές φθάνει τους 17</w:t>
      </w:r>
      <w:r w:rsidR="002A5009">
        <w:t>.</w:t>
      </w:r>
      <w:r>
        <w:t>500 t CO₂ (περίπου 15–20% κάτω από το πλοίο αναφοράς με ιστία και από το πλοίο αναφοράς χωρίς ιστία, αντίστοιχα).</w:t>
      </w:r>
    </w:p>
    <w:p w14:paraId="18044A75" w14:textId="18CAD1E7" w:rsidR="00020140" w:rsidRDefault="003C7DFB">
      <w:pPr>
        <w:spacing w:line="360" w:lineRule="auto"/>
        <w:ind w:firstLine="576"/>
        <w:jc w:val="both"/>
      </w:pPr>
      <w:r>
        <w:t>Η διάκριση αυτή —μεταξύ της εξοικονόμησης που επιτυγχάνεται με την προσθήκη WAPS σε μια κατά τα λοιπά αμετάβλητη γάστρα και της μεγαλύτερης εξοικονόμησης που επιτυγχάνεται με τη συνολική βελτιστοποίηση του πλοίου γύρω από τα WAPS— είναι μεθοδολογικά σημαντική για την ερμηνεία των στοιχείων εξοικονόμησης καυσίμου στην ευρύτερη βιβλιογραφία, καθώς ένα αναφερόμενο εύρος, όπως 4–25% [</w:t>
      </w:r>
      <w:r>
        <w:fldChar w:fldCharType="begin"/>
      </w:r>
      <w:r>
        <w:instrText xml:space="preserve"> REF _Ref_cit_7 \h \* MERGEFORMAT </w:instrText>
      </w:r>
      <w:r>
        <w:fldChar w:fldCharType="separate"/>
      </w:r>
      <w:r w:rsidR="00B0043E" w:rsidRPr="00B0043E">
        <w:t>7</w:t>
      </w:r>
      <w:r>
        <w:fldChar w:fldCharType="end"/>
      </w:r>
      <w:r>
        <w:t>], [</w:t>
      </w:r>
      <w:r>
        <w:fldChar w:fldCharType="begin"/>
      </w:r>
      <w:r>
        <w:instrText xml:space="preserve"> REF _Ref_cit_34 \h \* MERGEFORMAT </w:instrText>
      </w:r>
      <w:r>
        <w:fldChar w:fldCharType="separate"/>
      </w:r>
      <w:r w:rsidR="00B0043E" w:rsidRPr="00B0043E">
        <w:t>34</w:t>
      </w:r>
      <w:r>
        <w:fldChar w:fldCharType="end"/>
      </w:r>
      <w:r>
        <w:t>], [</w:t>
      </w:r>
      <w:r>
        <w:fldChar w:fldCharType="begin"/>
      </w:r>
      <w:r>
        <w:instrText xml:space="preserve"> REF _Ref_cit_39 \h \* MERGEFORMAT </w:instrText>
      </w:r>
      <w:r>
        <w:fldChar w:fldCharType="separate"/>
      </w:r>
      <w:r w:rsidR="00B0043E" w:rsidRPr="00B0043E">
        <w:t>39</w:t>
      </w:r>
      <w:r>
        <w:fldChar w:fldCharType="end"/>
      </w:r>
      <w:r>
        <w:t>], δεν δείχνει από μόνο του αν το ανώτερο άκρο του αντανακλά μόνο την τεχνολογία WAPS ή έναν ευρύτερο επανασχεδιασμό του πλοίου γύρω από αυτήν. Οι συγγραφείς της [</w:t>
      </w:r>
      <w:r>
        <w:fldChar w:fldCharType="begin"/>
      </w:r>
      <w:r>
        <w:instrText xml:space="preserve"> REF _Ref_cit_45 \h \* MERGEFORMAT </w:instrText>
      </w:r>
      <w:r>
        <w:fldChar w:fldCharType="separate"/>
      </w:r>
      <w:r w:rsidR="00B0043E" w:rsidRPr="00B0043E">
        <w:t>45</w:t>
      </w:r>
      <w:r>
        <w:fldChar w:fldCharType="end"/>
      </w:r>
      <w:r>
        <w:t>] χαρακτηρίζουν επιπλέον τα δικά τους αποτελέσματα ως συντηρητικά, καθώς η προσομοίωση υποθέτει μια σταθερή, προκαθορισμένη διαδρομή και όχι δυναμική δρομολόγηση με βάση τον καιρό· συνεπώς, το πλήρες όφελος της αιολικής υποβοήθησης —το οποίο εξαρτάται από την αξιοποίηση ευνοϊκών γωνιών φαινόμενου ανέμου— δεν αποτυπώνεται πλήρως. Αυτό συνάδει με τη γενική διαπίστωση, που διατυπώνεται και αλλού στην παρούσα εργασία, ότι ο σχεδιασμός ταξιδιών με βάση τις μετεωρολογικές προγνώσεις θεωρείται όλο και περισσότερο απαραίτητο συμπλήρωμα του εξοπλισμού WAPS [</w:t>
      </w:r>
      <w:r>
        <w:fldChar w:fldCharType="begin"/>
      </w:r>
      <w:r>
        <w:instrText xml:space="preserve"> REF _Ref_cit_7 \h \* MERGEFORMAT </w:instrText>
      </w:r>
      <w:r>
        <w:fldChar w:fldCharType="separate"/>
      </w:r>
      <w:r w:rsidR="00B0043E" w:rsidRPr="00B0043E">
        <w:t>7</w:t>
      </w:r>
      <w:r>
        <w:fldChar w:fldCharType="end"/>
      </w:r>
      <w:r>
        <w:t>], [</w:t>
      </w:r>
      <w:r>
        <w:fldChar w:fldCharType="begin"/>
      </w:r>
      <w:r>
        <w:instrText xml:space="preserve"> REF _Ref_cit_36 \h \* MERGEFORMAT </w:instrText>
      </w:r>
      <w:r>
        <w:fldChar w:fldCharType="separate"/>
      </w:r>
      <w:r w:rsidR="00B0043E" w:rsidRPr="00B0043E">
        <w:t>36</w:t>
      </w:r>
      <w:r>
        <w:fldChar w:fldCharType="end"/>
      </w:r>
      <w:r>
        <w:t>].</w:t>
      </w:r>
    </w:p>
    <w:p w14:paraId="77A91C41" w14:textId="00D95FEB" w:rsidR="00020140" w:rsidRDefault="003C7DFB">
      <w:pPr>
        <w:spacing w:line="360" w:lineRule="auto"/>
        <w:ind w:firstLine="576"/>
        <w:jc w:val="both"/>
      </w:pPr>
      <w:r>
        <w:t>Η γεν</w:t>
      </w:r>
      <w:r w:rsidR="00CD2E64">
        <w:t>ίκευση</w:t>
      </w:r>
      <w:r>
        <w:t xml:space="preserve"> των αποτελεσμάτων της [</w:t>
      </w:r>
      <w:r>
        <w:fldChar w:fldCharType="begin"/>
      </w:r>
      <w:r>
        <w:instrText xml:space="preserve"> REF _Ref_cit_45 \h \* MERGEFORMAT </w:instrText>
      </w:r>
      <w:r>
        <w:fldChar w:fldCharType="separate"/>
      </w:r>
      <w:r w:rsidR="00B0043E" w:rsidRPr="00B0043E">
        <w:t>45</w:t>
      </w:r>
      <w:r>
        <w:fldChar w:fldCharType="end"/>
      </w:r>
      <w:r>
        <w:t>] περιορίζεται επίσης σε έναν τύπο πλοίου, μία τεχνολογία και μία διαδρομή: τα αποτελέσματα αφορούν φορτηγό πλοίο χύδην ξηρού φορτίου σε υπερ</w:t>
      </w:r>
      <w:r w:rsidR="007633D3">
        <w:t>ωκεάνια</w:t>
      </w:r>
      <w:r>
        <w:t xml:space="preserve"> διαδρομή Κίνας–ΗΠΑ, εξοπλισμένο με άκαμπτα ιστία, και οι συγγραφείς επισημαίνουν ότι η προσέγγισή τους, που </w:t>
      </w:r>
      <w:proofErr w:type="spellStart"/>
      <w:r>
        <w:t>μοντελοποιεί</w:t>
      </w:r>
      <w:proofErr w:type="spellEnd"/>
      <w:r>
        <w:t xml:space="preserve"> μόνο </w:t>
      </w:r>
      <w:r>
        <w:lastRenderedPageBreak/>
        <w:t>τη διαμήκη κίνηση (</w:t>
      </w:r>
      <w:proofErr w:type="spellStart"/>
      <w:r>
        <w:t>surge</w:t>
      </w:r>
      <w:proofErr w:type="spellEnd"/>
      <w:r>
        <w:t xml:space="preserve">, ενός βαθμού ελευθερίας — 1-DOF), αν και επαρκής για πλοία με αιολική υποβοήθηση στα οποία η κύρια μηχανή εξακολουθεί να παρέχει το μεγαλύτερο μέρος της ισχύος πρόωσης, ενδέχεται να μην επαρκεί για πλοία με πλήρως αιολική πρόωση, όπου η εγκάρσια και η περιστροφική δυναμική θα έπρεπε να </w:t>
      </w:r>
      <w:proofErr w:type="spellStart"/>
      <w:r>
        <w:t>μοντελοποιούνται</w:t>
      </w:r>
      <w:proofErr w:type="spellEnd"/>
      <w:r>
        <w:t xml:space="preserve"> ρητά. Τα πλοία μεταφοράς εμπορευματοκιβωτίων επισημαίνονται χωριστά, τόσο στην [</w:t>
      </w:r>
      <w:r>
        <w:fldChar w:fldCharType="begin"/>
      </w:r>
      <w:r>
        <w:instrText xml:space="preserve"> REF _Ref_cit_45 \h \* MERGEFORMAT </w:instrText>
      </w:r>
      <w:r>
        <w:fldChar w:fldCharType="separate"/>
      </w:r>
      <w:r w:rsidR="00B0043E" w:rsidRPr="00B0043E">
        <w:t>45</w:t>
      </w:r>
      <w:r>
        <w:fldChar w:fldCharType="end"/>
      </w:r>
      <w:r>
        <w:t>] όσο και αλλού στην παρούσα εργασία, ως τύπος πλοίου που αντιμετωπίζει πρόσθετους περιορισμούς ενσωμάτωσης WAPS λόγω των πυκνά στοιβαγμένων εμπορευματοκιβωτίων και των περιορισμών ύψους (</w:t>
      </w:r>
      <w:proofErr w:type="spellStart"/>
      <w:r>
        <w:t>air</w:t>
      </w:r>
      <w:proofErr w:type="spellEnd"/>
      <w:r>
        <w:t xml:space="preserve"> </w:t>
      </w:r>
      <w:proofErr w:type="spellStart"/>
      <w:r>
        <w:t>draft</w:t>
      </w:r>
      <w:proofErr w:type="spellEnd"/>
      <w:r>
        <w:t>), οι οποίοι περιορίζουν το μέγεθος και τον αριθμό των μονάδων που μπορούν ρεαλιστικά να εγκατασταθούν [</w:t>
      </w:r>
      <w:r>
        <w:fldChar w:fldCharType="begin"/>
      </w:r>
      <w:r>
        <w:instrText xml:space="preserve"> REF _Ref_cit_39 \h \* MERGEFORMAT </w:instrText>
      </w:r>
      <w:r>
        <w:fldChar w:fldCharType="separate"/>
      </w:r>
      <w:r w:rsidR="00B0043E" w:rsidRPr="00B0043E">
        <w:t>39</w:t>
      </w:r>
      <w:r>
        <w:fldChar w:fldCharType="end"/>
      </w:r>
      <w:r>
        <w:t>].</w:t>
      </w:r>
    </w:p>
    <w:p w14:paraId="787D4250" w14:textId="12EF8FD6" w:rsidR="006C4C83" w:rsidRDefault="00C0662E">
      <w:pPr>
        <w:spacing w:line="360" w:lineRule="auto"/>
        <w:ind w:firstLine="576"/>
        <w:jc w:val="both"/>
      </w:pPr>
      <w:r w:rsidRPr="001510AC">
        <w:t xml:space="preserve">Μια άλλη εργασία των </w:t>
      </w:r>
      <w:proofErr w:type="spellStart"/>
      <w:r w:rsidRPr="001510AC">
        <w:t>Πλέσσα</w:t>
      </w:r>
      <w:proofErr w:type="spellEnd"/>
      <w:r w:rsidRPr="001510AC">
        <w:t xml:space="preserve"> και Παπανικολάου [</w:t>
      </w:r>
      <w:r w:rsidRPr="001510AC">
        <w:fldChar w:fldCharType="begin"/>
      </w:r>
      <w:r w:rsidRPr="001510AC">
        <w:instrText xml:space="preserve"> REF _Ref_cit_65 \h \* MERGEFORMAT </w:instrText>
      </w:r>
      <w:r w:rsidRPr="001510AC">
        <w:fldChar w:fldCharType="separate"/>
      </w:r>
      <w:r w:rsidR="00B0043E" w:rsidRPr="00B0043E">
        <w:t>65</w:t>
      </w:r>
      <w:r w:rsidRPr="001510AC">
        <w:fldChar w:fldCharType="end"/>
      </w:r>
      <w:r w:rsidRPr="001510AC">
        <w:t>] για ένα δεξαμενόπλοιο μεταφοράς αργού πετρελαίου πολύ μεγάλου μεγέθους (VLCC) αποτελεί ένα συμπληρωματικό σημείο αναφοράς σε σχέση με τη [</w:t>
      </w:r>
      <w:r w:rsidRPr="001510AC">
        <w:fldChar w:fldCharType="begin"/>
      </w:r>
      <w:r w:rsidRPr="001510AC">
        <w:instrText xml:space="preserve"> REF _Ref_cit_45 \h \* MERGEFORMAT </w:instrText>
      </w:r>
      <w:r w:rsidRPr="001510AC">
        <w:fldChar w:fldCharType="separate"/>
      </w:r>
      <w:r w:rsidR="00B0043E" w:rsidRPr="00B0043E">
        <w:t>45</w:t>
      </w:r>
      <w:r w:rsidRPr="001510AC">
        <w:fldChar w:fldCharType="end"/>
      </w:r>
      <w:r w:rsidRPr="001510AC">
        <w:t>], καθώς προέρχεται από την ίδια ερευνητική ομάδα του ΕΜΠ. Οι συγγραφείς εφαρμόζουν παραμετρική βελτιστοποίηση πολλαπλών στόχων στην πρώιμη φάση σχεδιασμού ενός πλοίου με άκαμπτα ιστία και χρησιμοποιούν ως οικονομικό στόχο τον απαιτούμενο ναύλο (</w:t>
      </w:r>
      <w:proofErr w:type="spellStart"/>
      <w:r w:rsidRPr="001510AC">
        <w:t>Required</w:t>
      </w:r>
      <w:proofErr w:type="spellEnd"/>
      <w:r w:rsidRPr="001510AC">
        <w:t xml:space="preserve"> </w:t>
      </w:r>
      <w:proofErr w:type="spellStart"/>
      <w:r w:rsidRPr="001510AC">
        <w:t>Freight</w:t>
      </w:r>
      <w:proofErr w:type="spellEnd"/>
      <w:r w:rsidRPr="001510AC">
        <w:t xml:space="preserve"> </w:t>
      </w:r>
      <w:proofErr w:type="spellStart"/>
      <w:r w:rsidRPr="001510AC">
        <w:t>Rate</w:t>
      </w:r>
      <w:proofErr w:type="spellEnd"/>
      <w:r w:rsidRPr="001510AC">
        <w:t>, RFR) και όχι την NPV. Αναφέρουν ότι οι βελτιστοποιημένοι σχεδιασμοί με αιολική υποβοήθηση μπορούν να μειώσουν την κατανάλωση καυσίμου και τις εκπομπές αερίων θερμοκηπίου κατά περισσότερο από 20% σε σχέση με τους συμβατικούς σχεδιασμούς, ενώ η απλή μετασκευή του ίδιου συστήματος ιστίων στο πλοίο αναφοράς μειώνει την ετήσια κατανάλωση καυσίμου από 13</w:t>
      </w:r>
      <w:r w:rsidR="00075A45" w:rsidRPr="001510AC">
        <w:t>.</w:t>
      </w:r>
      <w:r w:rsidRPr="001510AC">
        <w:t>253 σε 11</w:t>
      </w:r>
      <w:r w:rsidR="001510AC" w:rsidRPr="001510AC">
        <w:t>.</w:t>
      </w:r>
      <w:r w:rsidRPr="001510AC">
        <w:t>895 t, δηλαδή περίπου 10%, και τον RFR κατά περίπου 5% [</w:t>
      </w:r>
      <w:r w:rsidRPr="001510AC">
        <w:fldChar w:fldCharType="begin"/>
      </w:r>
      <w:r w:rsidRPr="001510AC">
        <w:instrText xml:space="preserve"> REF _Ref_cit_65 \h \* MERGEFORMAT </w:instrText>
      </w:r>
      <w:r w:rsidRPr="001510AC">
        <w:fldChar w:fldCharType="separate"/>
      </w:r>
      <w:r w:rsidR="00B0043E" w:rsidRPr="00B0043E">
        <w:t>65</w:t>
      </w:r>
      <w:r w:rsidRPr="001510AC">
        <w:fldChar w:fldCharType="end"/>
      </w:r>
      <w:r w:rsidRPr="001510AC">
        <w:t xml:space="preserve">]. Το αποτέλεσμα συμφωνεί ποιοτικά με τη διάκριση που </w:t>
      </w:r>
      <w:proofErr w:type="spellStart"/>
      <w:r w:rsidRPr="001510AC">
        <w:t>περιγράφηκε</w:t>
      </w:r>
      <w:proofErr w:type="spellEnd"/>
      <w:r w:rsidRPr="001510AC">
        <w:t xml:space="preserve"> παραπάνω: το μεγαλύτερο όφελος προκύπτει όταν το πλοίο σχεδιάζεται γύρω από τα ιστία και όχι όταν αυτά απλώς προστίθενται.</w:t>
      </w:r>
    </w:p>
    <w:p w14:paraId="78660041" w14:textId="5317D962" w:rsidR="006C4C83" w:rsidRDefault="001A2FEB">
      <w:pPr>
        <w:spacing w:line="360" w:lineRule="auto"/>
        <w:ind w:firstLine="576"/>
        <w:jc w:val="both"/>
      </w:pPr>
      <w:r w:rsidRPr="008D6C58">
        <w:t xml:space="preserve">Οι </w:t>
      </w:r>
      <w:proofErr w:type="spellStart"/>
      <w:r w:rsidRPr="008D6C58">
        <w:t>Tillig</w:t>
      </w:r>
      <w:proofErr w:type="spellEnd"/>
      <w:r w:rsidRPr="008D6C58">
        <w:t xml:space="preserve"> και </w:t>
      </w:r>
      <w:proofErr w:type="spellStart"/>
      <w:r w:rsidRPr="008D6C58">
        <w:t>Ringsberg</w:t>
      </w:r>
      <w:proofErr w:type="spellEnd"/>
      <w:r w:rsidRPr="008D6C58">
        <w:t xml:space="preserve"> [</w:t>
      </w:r>
      <w:r w:rsidRPr="008D6C58">
        <w:fldChar w:fldCharType="begin"/>
      </w:r>
      <w:r w:rsidRPr="008D6C58">
        <w:instrText xml:space="preserve"> REF _Ref_cit_66 \h \* MERGEFORMAT </w:instrText>
      </w:r>
      <w:r w:rsidRPr="008D6C58">
        <w:fldChar w:fldCharType="separate"/>
      </w:r>
      <w:r w:rsidR="00B0043E" w:rsidRPr="00B0043E">
        <w:t>66</w:t>
      </w:r>
      <w:r w:rsidRPr="008D6C58">
        <w:fldChar w:fldCharType="end"/>
      </w:r>
      <w:r w:rsidRPr="008D6C58">
        <w:t xml:space="preserve">] προσομοίωσαν δύο πλοία, ένα δεξαμενόπλοιο και ένα πλοίο </w:t>
      </w:r>
      <w:proofErr w:type="spellStart"/>
      <w:r w:rsidRPr="008D6C58">
        <w:t>RoRo</w:t>
      </w:r>
      <w:proofErr w:type="spellEnd"/>
      <w:r w:rsidRPr="008D6C58">
        <w:t>, με έντεκα διατάξεις ιστίων-</w:t>
      </w:r>
      <w:proofErr w:type="spellStart"/>
      <w:r w:rsidRPr="008D6C58">
        <w:t>ροτόρων</w:t>
      </w:r>
      <w:proofErr w:type="spellEnd"/>
      <w:r w:rsidRPr="008D6C58">
        <w:t xml:space="preserve"> σε διαδρομές του Ειρηνικού και της Βαλτικής, με ρεαλιστικά καιρικά δεδομένα, και ανέφεραν εξοικονόμηση καυσίμου περίπου 30% για το δεξαμενόπλοιο και 14% για το </w:t>
      </w:r>
      <w:proofErr w:type="spellStart"/>
      <w:r w:rsidRPr="008D6C58">
        <w:t>RoRo</w:t>
      </w:r>
      <w:proofErr w:type="spellEnd"/>
      <w:r w:rsidRPr="008D6C58">
        <w:t xml:space="preserve">, εκτιμώντας παράλληλα τους χρόνους αποπληρωμής. Τα ποσοστά αυτά βρίσκονται στο υψηλό άκρο, ή και πάνω από το εύρος 4–25% που αναφέρθηκε παραπάνω, και προκύπτουν από προσομοίωση με διατάξεις πολλών </w:t>
      </w:r>
      <w:proofErr w:type="spellStart"/>
      <w:r w:rsidRPr="008D6C58">
        <w:t>ροτόρων</w:t>
      </w:r>
      <w:proofErr w:type="spellEnd"/>
      <w:r w:rsidRPr="008D6C58">
        <w:t>, γι’ αυτό πρέπει να διαβάζονται μαζί με τις μετρημένες τιμές της Ενότητας 4.7.3. Στην αντίθετη κλίμακα, για ένα μικρό πλοίο γενικού φορτίου 5</w:t>
      </w:r>
      <w:r w:rsidR="008D6C58" w:rsidRPr="008D6C58">
        <w:t>.</w:t>
      </w:r>
      <w:r w:rsidRPr="008D6C58">
        <w:t xml:space="preserve">150 </w:t>
      </w:r>
      <w:r w:rsidR="008D6C58" w:rsidRPr="008D6C58">
        <w:t xml:space="preserve">DWT </w:t>
      </w:r>
      <w:r w:rsidRPr="008D6C58">
        <w:t xml:space="preserve">στη Βαλτική, οι </w:t>
      </w:r>
      <w:proofErr w:type="spellStart"/>
      <w:r w:rsidRPr="008D6C58">
        <w:t>van</w:t>
      </w:r>
      <w:proofErr w:type="spellEnd"/>
      <w:r w:rsidRPr="008D6C58">
        <w:t xml:space="preserve"> </w:t>
      </w:r>
      <w:proofErr w:type="spellStart"/>
      <w:r w:rsidRPr="008D6C58">
        <w:t>der</w:t>
      </w:r>
      <w:proofErr w:type="spellEnd"/>
      <w:r w:rsidRPr="008D6C58">
        <w:t xml:space="preserve"> </w:t>
      </w:r>
      <w:proofErr w:type="spellStart"/>
      <w:r w:rsidRPr="008D6C58">
        <w:t>Kolk</w:t>
      </w:r>
      <w:proofErr w:type="spellEnd"/>
      <w:r w:rsidRPr="008D6C58">
        <w:t xml:space="preserve"> </w:t>
      </w:r>
      <w:proofErr w:type="spellStart"/>
      <w:r w:rsidRPr="008D6C58">
        <w:t>et</w:t>
      </w:r>
      <w:proofErr w:type="spellEnd"/>
      <w:r w:rsidRPr="008D6C58">
        <w:t xml:space="preserve"> </w:t>
      </w:r>
      <w:proofErr w:type="spellStart"/>
      <w:r w:rsidRPr="008D6C58">
        <w:t>al</w:t>
      </w:r>
      <w:proofErr w:type="spellEnd"/>
      <w:r w:rsidRPr="008D6C58">
        <w:t>. [</w:t>
      </w:r>
      <w:r w:rsidRPr="008D6C58">
        <w:fldChar w:fldCharType="begin"/>
      </w:r>
      <w:r w:rsidRPr="008D6C58">
        <w:instrText xml:space="preserve"> REF _Ref_cit_67 \h \* MERGEFORMAT </w:instrText>
      </w:r>
      <w:r w:rsidRPr="008D6C58">
        <w:fldChar w:fldCharType="separate"/>
      </w:r>
      <w:r w:rsidR="00B0043E" w:rsidRPr="00B0043E">
        <w:t>67</w:t>
      </w:r>
      <w:r w:rsidRPr="008D6C58">
        <w:fldChar w:fldCharType="end"/>
      </w:r>
      <w:r w:rsidRPr="008D6C58">
        <w:t xml:space="preserve">] βρήκαν εξοικονόμηση 2.99% με έναν </w:t>
      </w:r>
      <w:proofErr w:type="spellStart"/>
      <w:r w:rsidRPr="008D6C58">
        <w:lastRenderedPageBreak/>
        <w:t>ρότορα</w:t>
      </w:r>
      <w:proofErr w:type="spellEnd"/>
      <w:r w:rsidRPr="008D6C58">
        <w:t xml:space="preserve"> </w:t>
      </w:r>
      <w:proofErr w:type="spellStart"/>
      <w:r w:rsidRPr="008D6C58">
        <w:t>Flettner</w:t>
      </w:r>
      <w:proofErr w:type="spellEnd"/>
      <w:r w:rsidRPr="008D6C58">
        <w:t xml:space="preserve"> και 6.11% με δύο, και πραγματοποίησαν επίσης ανάλυση περιόδου αποπληρωμής.</w:t>
      </w:r>
    </w:p>
    <w:p w14:paraId="2DADDAD5" w14:textId="77777777" w:rsidR="00020140" w:rsidRDefault="003C7DFB">
      <w:pPr>
        <w:pStyle w:val="20"/>
      </w:pPr>
      <w:bookmarkStart w:id="128" w:name="_Toc243355299"/>
      <w:r>
        <w:t>Μέθοδοι οικονομικής αξιολόγησης</w:t>
      </w:r>
      <w:bookmarkEnd w:id="128"/>
    </w:p>
    <w:p w14:paraId="01B0E28B" w14:textId="54DE4FBC" w:rsidR="00020140" w:rsidRDefault="003C7DFB">
      <w:pPr>
        <w:spacing w:line="360" w:lineRule="auto"/>
        <w:ind w:firstLine="576"/>
        <w:jc w:val="both"/>
      </w:pPr>
      <w:r>
        <w:t xml:space="preserve">Στην παρούσα ενότητα εξετάζονται οι τρεις τυπικοί δείκτες αξιολόγησης επενδύσεων που χρησιμοποιούνται για την οικονομική αξιολόγηση των WAPS: η περίοδος αποπληρωμής, η καθαρή παρούσα αξία και ο εσωτερικός βαθμός απόδοσης. Οι </w:t>
      </w:r>
      <w:proofErr w:type="spellStart"/>
      <w:r w:rsidR="00312106">
        <w:t>Πλέσσα</w:t>
      </w:r>
      <w:r w:rsidR="00AA2471">
        <w:t>ς</w:t>
      </w:r>
      <w:proofErr w:type="spellEnd"/>
      <w:r w:rsidR="00312106">
        <w:t xml:space="preserve"> και Παπανικολάου</w:t>
      </w:r>
      <w:r>
        <w:t xml:space="preserve"> [</w:t>
      </w:r>
      <w:r>
        <w:fldChar w:fldCharType="begin"/>
      </w:r>
      <w:r>
        <w:instrText xml:space="preserve"> REF _Ref_cit_45 \h \* MERGEFORMAT </w:instrText>
      </w:r>
      <w:r>
        <w:fldChar w:fldCharType="separate"/>
      </w:r>
      <w:r w:rsidR="00B0043E" w:rsidRPr="00B0043E">
        <w:t>45</w:t>
      </w:r>
      <w:r>
        <w:fldChar w:fldCharType="end"/>
      </w:r>
      <w:r>
        <w:t xml:space="preserve">] χρησιμοποιούν την </w:t>
      </w:r>
      <w:r w:rsidR="00AA2471">
        <w:t>Καθαρή Παρούσα Αξία</w:t>
      </w:r>
      <w:r>
        <w:t xml:space="preserve"> ως κύριο δείκτη κερδοφορίας στην πλατφόρμα βελτιστοποίησης σχεδιασμού τους, η οποία περιγράφεται αναλυτικά στην Ενότητα 3.4.2.</w:t>
      </w:r>
    </w:p>
    <w:p w14:paraId="79EF94B5" w14:textId="77777777" w:rsidR="00020140" w:rsidRDefault="003C7DFB">
      <w:pPr>
        <w:pStyle w:val="30"/>
      </w:pPr>
      <w:bookmarkStart w:id="129" w:name="_Toc243355300"/>
      <w:r>
        <w:t>Περίοδος αποπληρωμής</w:t>
      </w:r>
      <w:bookmarkEnd w:id="129"/>
    </w:p>
    <w:p w14:paraId="7728D605" w14:textId="6FB9F4C8" w:rsidR="00020140" w:rsidRDefault="003C7DFB">
      <w:pPr>
        <w:spacing w:line="360" w:lineRule="auto"/>
        <w:ind w:firstLine="576"/>
        <w:jc w:val="both"/>
      </w:pPr>
      <w:r>
        <w:t xml:space="preserve">Η περίοδος αποπληρωμής εκφράζει τον χρόνο που απαιτείται ώστε η σωρευτική εξοικονόμηση κόστους καυσίμου που προκύπτει από μια επένδυση σε WAPS να αντισταθμίσει το κεφαλαιουχικό της κόστος, και χρησιμοποιείται συχνά παράλληλα με την NPV στις τεχνικοοικονομικές αξιολογήσεις, λόγω της απλότητάς της και της ανεξαρτησίας της από κάποιο υποτιθέμενο προεξοφλητικό επιτόκιο. Οι </w:t>
      </w:r>
      <w:proofErr w:type="spellStart"/>
      <w:r w:rsidR="00312106">
        <w:t>Πλέσσα</w:t>
      </w:r>
      <w:r w:rsidR="00844246">
        <w:t>ς</w:t>
      </w:r>
      <w:proofErr w:type="spellEnd"/>
      <w:r w:rsidR="00312106">
        <w:t xml:space="preserve"> και Παπανικολάου</w:t>
      </w:r>
      <w:r>
        <w:t xml:space="preserve"> [</w:t>
      </w:r>
      <w:r>
        <w:fldChar w:fldCharType="begin"/>
      </w:r>
      <w:r>
        <w:instrText xml:space="preserve"> REF _Ref_cit_45 \h \* MERGEFORMAT </w:instrText>
      </w:r>
      <w:r>
        <w:fldChar w:fldCharType="separate"/>
      </w:r>
      <w:r w:rsidR="00B0043E" w:rsidRPr="00B0043E">
        <w:t>45</w:t>
      </w:r>
      <w:r>
        <w:fldChar w:fldCharType="end"/>
      </w:r>
      <w:r>
        <w:t xml:space="preserve">] αξιολογούν τα οικονομικά των WAPS αποκλειστικά μέσω της NPV, η οποία περιγράφεται στην επόμενη </w:t>
      </w:r>
      <w:proofErr w:type="spellStart"/>
      <w:r>
        <w:t>υποενότητα</w:t>
      </w:r>
      <w:proofErr w:type="spellEnd"/>
      <w:r>
        <w:t xml:space="preserve">, χωρίς να αναφέρουν απλή ή </w:t>
      </w:r>
      <w:proofErr w:type="spellStart"/>
      <w:r>
        <w:t>προεξοφλημένη</w:t>
      </w:r>
      <w:proofErr w:type="spellEnd"/>
      <w:r>
        <w:t xml:space="preserve"> περίοδο αποπληρωμής για τους σχεδιασμούς της μελέτης περίπτωσης.</w:t>
      </w:r>
    </w:p>
    <w:p w14:paraId="7C24ADED" w14:textId="271AA2C4" w:rsidR="006C4C83" w:rsidRPr="001E1878" w:rsidRDefault="001A2FEB">
      <w:pPr>
        <w:spacing w:line="360" w:lineRule="auto"/>
        <w:ind w:firstLine="576"/>
        <w:jc w:val="both"/>
      </w:pPr>
      <w:r w:rsidRPr="001E1878">
        <w:t xml:space="preserve">Άλλες μελέτες αναφέρουν ρητά περίοδο αποπληρωμής. Για φορτηγό πλοίο χύδην ξηρού φορτίου στη διαδρομή </w:t>
      </w:r>
      <w:proofErr w:type="spellStart"/>
      <w:r w:rsidRPr="001E1878">
        <w:t>Δαμιέττη</w:t>
      </w:r>
      <w:proofErr w:type="spellEnd"/>
      <w:r w:rsidRPr="001E1878">
        <w:t>–</w:t>
      </w:r>
      <w:proofErr w:type="spellStart"/>
      <w:r w:rsidRPr="001E1878">
        <w:t>Δουνκέρκη</w:t>
      </w:r>
      <w:proofErr w:type="spellEnd"/>
      <w:r w:rsidRPr="001E1878">
        <w:t xml:space="preserve">, με εξοικονόμηση καυσίμου έως 22.28% ετησίως, οι </w:t>
      </w:r>
      <w:proofErr w:type="spellStart"/>
      <w:r w:rsidRPr="001E1878">
        <w:t>Seddiek</w:t>
      </w:r>
      <w:proofErr w:type="spellEnd"/>
      <w:r w:rsidRPr="001E1878">
        <w:t xml:space="preserve"> και </w:t>
      </w:r>
      <w:proofErr w:type="spellStart"/>
      <w:r w:rsidRPr="001E1878">
        <w:t>Ammar</w:t>
      </w:r>
      <w:proofErr w:type="spellEnd"/>
      <w:r w:rsidRPr="001E1878">
        <w:t xml:space="preserve"> [</w:t>
      </w:r>
      <w:r w:rsidRPr="001E1878">
        <w:fldChar w:fldCharType="begin"/>
      </w:r>
      <w:r w:rsidRPr="001E1878">
        <w:instrText xml:space="preserve"> REF _Ref_cit_69 \h \* MERGEFORMAT </w:instrText>
      </w:r>
      <w:r w:rsidRPr="001E1878">
        <w:fldChar w:fldCharType="separate"/>
      </w:r>
      <w:r w:rsidR="00B0043E" w:rsidRPr="00B0043E">
        <w:t>69</w:t>
      </w:r>
      <w:r w:rsidRPr="001E1878">
        <w:fldChar w:fldCharType="end"/>
      </w:r>
      <w:r w:rsidRPr="001E1878">
        <w:t>] βρίσκουν περίοδο αποπληρωμής 6 ετών, με επιτόκιο 10% για τον υπολογισμό του κόστους ανά τόνο μειωμένων εκπομπών.</w:t>
      </w:r>
    </w:p>
    <w:p w14:paraId="26316817" w14:textId="345844C1" w:rsidR="006C4C83" w:rsidRDefault="001A2FEB">
      <w:pPr>
        <w:spacing w:line="360" w:lineRule="auto"/>
        <w:ind w:firstLine="576"/>
        <w:jc w:val="both"/>
      </w:pPr>
      <w:r w:rsidRPr="001E1878">
        <w:t xml:space="preserve">Οι </w:t>
      </w:r>
      <w:proofErr w:type="spellStart"/>
      <w:r w:rsidRPr="001E1878">
        <w:t>Vaghela</w:t>
      </w:r>
      <w:proofErr w:type="spellEnd"/>
      <w:r w:rsidRPr="001E1878">
        <w:t xml:space="preserve"> </w:t>
      </w:r>
      <w:proofErr w:type="spellStart"/>
      <w:r w:rsidRPr="001E1878">
        <w:t>et</w:t>
      </w:r>
      <w:proofErr w:type="spellEnd"/>
      <w:r w:rsidRPr="001E1878">
        <w:t xml:space="preserve"> </w:t>
      </w:r>
      <w:proofErr w:type="spellStart"/>
      <w:r w:rsidRPr="001E1878">
        <w:t>al</w:t>
      </w:r>
      <w:proofErr w:type="spellEnd"/>
      <w:r w:rsidRPr="001E1878">
        <w:t>. [</w:t>
      </w:r>
      <w:r w:rsidRPr="001E1878">
        <w:fldChar w:fldCharType="begin"/>
      </w:r>
      <w:r w:rsidRPr="001E1878">
        <w:instrText xml:space="preserve"> REF _Ref_cit_70 \h \* MERGEFORMAT </w:instrText>
      </w:r>
      <w:r w:rsidRPr="001E1878">
        <w:fldChar w:fldCharType="separate"/>
      </w:r>
      <w:r w:rsidR="00B0043E" w:rsidRPr="00B0043E">
        <w:t>70</w:t>
      </w:r>
      <w:r w:rsidRPr="001E1878">
        <w:fldChar w:fldCharType="end"/>
      </w:r>
      <w:r w:rsidRPr="001E1878">
        <w:t xml:space="preserve">] εξετάζουν τρεις </w:t>
      </w:r>
      <w:proofErr w:type="spellStart"/>
      <w:r w:rsidRPr="001E1878">
        <w:t>ρότορες</w:t>
      </w:r>
      <w:proofErr w:type="spellEnd"/>
      <w:r w:rsidRPr="001E1878">
        <w:t xml:space="preserve"> </w:t>
      </w:r>
      <w:proofErr w:type="spellStart"/>
      <w:r w:rsidRPr="001E1878">
        <w:t>Flettner</w:t>
      </w:r>
      <w:proofErr w:type="spellEnd"/>
      <w:r w:rsidRPr="001E1878">
        <w:t xml:space="preserve"> σε πλοίο μεταφοράς εμπορευματοκιβωτίων πολύ μεγάλου μεγέθους (</w:t>
      </w:r>
      <w:proofErr w:type="spellStart"/>
      <w:r w:rsidRPr="001E1878">
        <w:t>Ever</w:t>
      </w:r>
      <w:proofErr w:type="spellEnd"/>
      <w:r w:rsidRPr="001E1878">
        <w:t xml:space="preserve"> </w:t>
      </w:r>
      <w:proofErr w:type="spellStart"/>
      <w:r w:rsidRPr="001E1878">
        <w:t>Ace</w:t>
      </w:r>
      <w:proofErr w:type="spellEnd"/>
      <w:r w:rsidRPr="001E1878">
        <w:t>, 23</w:t>
      </w:r>
      <w:r w:rsidR="003506AE" w:rsidRPr="001E1878">
        <w:t>.</w:t>
      </w:r>
      <w:r w:rsidRPr="001E1878">
        <w:t>992 TEU) στη διαδρομή Σαγκάη–Ρότερνταμ, με CAPEX  6 εκατομμύρια</w:t>
      </w:r>
      <w:r w:rsidR="003506AE" w:rsidRPr="001E1878">
        <w:t xml:space="preserve"> </w:t>
      </w:r>
      <w:r w:rsidR="003506AE" w:rsidRPr="001E1878">
        <w:rPr>
          <w:lang w:val="en-US"/>
        </w:rPr>
        <w:t>USD</w:t>
      </w:r>
      <w:r w:rsidRPr="001E1878">
        <w:t xml:space="preserve"> και εξοικονόμηση καυσίμου από 10</w:t>
      </w:r>
      <w:r w:rsidR="003506AE" w:rsidRPr="001E1878">
        <w:t>,</w:t>
      </w:r>
      <w:r w:rsidRPr="001E1878">
        <w:t>5% έως 28</w:t>
      </w:r>
      <w:r w:rsidR="003506AE" w:rsidRPr="001E1878">
        <w:t>,</w:t>
      </w:r>
      <w:r w:rsidRPr="001E1878">
        <w:t xml:space="preserve">5%, και διακρίνουν την απλή από την </w:t>
      </w:r>
      <w:proofErr w:type="spellStart"/>
      <w:r w:rsidRPr="001E1878">
        <w:t>προεξοφλημένη</w:t>
      </w:r>
      <w:proofErr w:type="spellEnd"/>
      <w:r w:rsidRPr="001E1878">
        <w:t xml:space="preserve"> περίοδο αποπληρωμής. Για τη διάμεση τιμή καυσίμου (480 USD ανά τόνο), η απλή περίοδος αποπληρωμής κυμαίνεται από 7</w:t>
      </w:r>
      <w:r w:rsidR="003506AE" w:rsidRPr="001E1878">
        <w:t>,</w:t>
      </w:r>
      <w:r w:rsidRPr="001E1878">
        <w:t>1 έως 2</w:t>
      </w:r>
      <w:r w:rsidR="003506AE" w:rsidRPr="001E1878">
        <w:t>,</w:t>
      </w:r>
      <w:r w:rsidRPr="001E1878">
        <w:t xml:space="preserve">2 έτη και η </w:t>
      </w:r>
      <w:proofErr w:type="spellStart"/>
      <w:r w:rsidRPr="001E1878">
        <w:t>προεξοφλημένη</w:t>
      </w:r>
      <w:proofErr w:type="spellEnd"/>
      <w:r w:rsidRPr="001E1878">
        <w:t xml:space="preserve"> από 10</w:t>
      </w:r>
      <w:r w:rsidR="003506AE" w:rsidRPr="001E1878">
        <w:t>,</w:t>
      </w:r>
      <w:r w:rsidRPr="001E1878">
        <w:t>5 έως 2</w:t>
      </w:r>
      <w:r w:rsidR="003506AE" w:rsidRPr="001E1878">
        <w:t>,</w:t>
      </w:r>
      <w:r w:rsidRPr="001E1878">
        <w:t>5 έτη, από το χαμηλότερο στο υψηλότερο σενάριο εξοικονόμησης [</w:t>
      </w:r>
      <w:r w:rsidRPr="001E1878">
        <w:fldChar w:fldCharType="begin"/>
      </w:r>
      <w:r w:rsidRPr="001E1878">
        <w:instrText xml:space="preserve"> REF _Ref_cit_70 \h \* MERGEFORMAT </w:instrText>
      </w:r>
      <w:r w:rsidRPr="001E1878">
        <w:fldChar w:fldCharType="separate"/>
      </w:r>
      <w:r w:rsidR="00B0043E" w:rsidRPr="00B0043E">
        <w:t>70</w:t>
      </w:r>
      <w:r w:rsidRPr="001E1878">
        <w:fldChar w:fldCharType="end"/>
      </w:r>
      <w:r w:rsidRPr="001E1878">
        <w:t xml:space="preserve">]. Η διαφορά μεταξύ των δύο δεικτών είναι μεγάλη όταν η εξοικονόμηση είναι μικρή και ασήμαντη όταν είναι μεγάλη. Αυτό δείχνει ότι η ανεξαρτησία της απλής περιόδου αποπληρωμής </w:t>
      </w:r>
      <w:r w:rsidRPr="001E1878">
        <w:lastRenderedPageBreak/>
        <w:t>από το προεξοφλητικό επιτόκιο, που αναφέρθηκε παραπάνω, οδηγεί σε υποεκτίμηση του χρόνου ανάκτησης κυρίως στις οριακές περιπτώσεις.</w:t>
      </w:r>
    </w:p>
    <w:p w14:paraId="74A76EBB" w14:textId="77777777" w:rsidR="00020140" w:rsidRDefault="003C7DFB">
      <w:pPr>
        <w:pStyle w:val="30"/>
      </w:pPr>
      <w:bookmarkStart w:id="130" w:name="_Toc243355301"/>
      <w:r>
        <w:t>Καθαρή παρούσα αξία (NPV)</w:t>
      </w:r>
      <w:bookmarkEnd w:id="130"/>
    </w:p>
    <w:p w14:paraId="564FF1F2" w14:textId="62679F4D" w:rsidR="00020140" w:rsidRDefault="003C7DFB">
      <w:pPr>
        <w:spacing w:line="360" w:lineRule="auto"/>
        <w:ind w:firstLine="576"/>
        <w:jc w:val="both"/>
      </w:pPr>
      <w:r>
        <w:t xml:space="preserve">Η NPV αποτελεί τον κεντρικό δείκτη κερδοφορίας της πλατφόρμας που ανέπτυξαν οι </w:t>
      </w:r>
      <w:proofErr w:type="spellStart"/>
      <w:r w:rsidR="00312106">
        <w:t>Πλέσσα</w:t>
      </w:r>
      <w:r w:rsidR="00844246">
        <w:t>ς</w:t>
      </w:r>
      <w:proofErr w:type="spellEnd"/>
      <w:r w:rsidR="00312106">
        <w:t xml:space="preserve"> και Παπανικολάου</w:t>
      </w:r>
      <w:r>
        <w:t xml:space="preserve"> [</w:t>
      </w:r>
      <w:r>
        <w:fldChar w:fldCharType="begin"/>
      </w:r>
      <w:r>
        <w:instrText xml:space="preserve"> REF _Ref_cit_45 \h \* MERGEFORMAT </w:instrText>
      </w:r>
      <w:r>
        <w:fldChar w:fldCharType="separate"/>
      </w:r>
      <w:r w:rsidR="00B0043E" w:rsidRPr="00B0043E">
        <w:t>45</w:t>
      </w:r>
      <w:r>
        <w:fldChar w:fldCharType="end"/>
      </w:r>
      <w:r>
        <w:t>] και υπολογίζεται ως εξής:</w:t>
      </w:r>
    </w:p>
    <w:p w14:paraId="5401AE0D" w14:textId="77777777" w:rsidR="00020140" w:rsidRPr="00E62BD7" w:rsidRDefault="003C7DFB">
      <w:pPr>
        <w:spacing w:line="360" w:lineRule="auto"/>
        <w:jc w:val="center"/>
        <w:rPr>
          <w:lang w:val="en-GB"/>
        </w:rPr>
      </w:pPr>
      <w:r w:rsidRPr="00E62BD7">
        <w:rPr>
          <w:lang w:val="en-GB"/>
        </w:rPr>
        <w:t>NPV = SPW · (</w:t>
      </w:r>
      <w:proofErr w:type="spellStart"/>
      <w:r w:rsidRPr="00E62BD7">
        <w:rPr>
          <w:lang w:val="en-GB"/>
        </w:rPr>
        <w:t>R</w:t>
      </w:r>
      <w:r w:rsidRPr="00E62BD7">
        <w:rPr>
          <w:vertAlign w:val="subscript"/>
          <w:lang w:val="en-GB"/>
        </w:rPr>
        <w:t>annual</w:t>
      </w:r>
      <w:proofErr w:type="spellEnd"/>
      <w:r w:rsidRPr="00E62BD7">
        <w:rPr>
          <w:lang w:val="en-GB"/>
        </w:rPr>
        <w:t xml:space="preserve"> − </w:t>
      </w:r>
      <w:proofErr w:type="spellStart"/>
      <w:r w:rsidRPr="00E62BD7">
        <w:rPr>
          <w:lang w:val="en-GB"/>
        </w:rPr>
        <w:t>C</w:t>
      </w:r>
      <w:r w:rsidRPr="00E62BD7">
        <w:rPr>
          <w:vertAlign w:val="subscript"/>
          <w:lang w:val="en-GB"/>
        </w:rPr>
        <w:t>annual</w:t>
      </w:r>
      <w:proofErr w:type="spellEnd"/>
      <w:r w:rsidRPr="00E62BD7">
        <w:rPr>
          <w:lang w:val="en-GB"/>
        </w:rPr>
        <w:t>) − C</w:t>
      </w:r>
      <w:r w:rsidRPr="00E62BD7">
        <w:rPr>
          <w:vertAlign w:val="subscript"/>
          <w:lang w:val="en-GB"/>
        </w:rPr>
        <w:t>CAPEX</w:t>
      </w:r>
      <w:r w:rsidRPr="00E62BD7">
        <w:rPr>
          <w:lang w:val="en-GB"/>
        </w:rPr>
        <w:t xml:space="preserve"> + PW · </w:t>
      </w:r>
      <w:proofErr w:type="spellStart"/>
      <w:r w:rsidRPr="00E62BD7">
        <w:rPr>
          <w:lang w:val="en-GB"/>
        </w:rPr>
        <w:t>R</w:t>
      </w:r>
      <w:r w:rsidRPr="00E62BD7">
        <w:rPr>
          <w:vertAlign w:val="subscript"/>
          <w:lang w:val="en-GB"/>
        </w:rPr>
        <w:t>scrap</w:t>
      </w:r>
      <w:proofErr w:type="spellEnd"/>
    </w:p>
    <w:p w14:paraId="5F7EFA18" w14:textId="085EAC67" w:rsidR="00020140" w:rsidRDefault="003C7DFB">
      <w:pPr>
        <w:spacing w:line="360" w:lineRule="auto"/>
        <w:ind w:firstLine="576"/>
        <w:jc w:val="both"/>
      </w:pPr>
      <w:r>
        <w:t xml:space="preserve">όπου </w:t>
      </w:r>
      <w:proofErr w:type="spellStart"/>
      <w:r>
        <w:t>R</w:t>
      </w:r>
      <w:r>
        <w:rPr>
          <w:vertAlign w:val="subscript"/>
        </w:rPr>
        <w:t>annual</w:t>
      </w:r>
      <w:proofErr w:type="spellEnd"/>
      <w:r>
        <w:t xml:space="preserve"> είναι τα ετήσια έσοδα από τη μεταφορά</w:t>
      </w:r>
      <w:r w:rsidR="009B39D6">
        <w:t xml:space="preserve"> του</w:t>
      </w:r>
      <w:r>
        <w:t xml:space="preserve"> φορτίου, </w:t>
      </w:r>
      <w:proofErr w:type="spellStart"/>
      <w:r>
        <w:t>C</w:t>
      </w:r>
      <w:r>
        <w:rPr>
          <w:vertAlign w:val="subscript"/>
        </w:rPr>
        <w:t>annual</w:t>
      </w:r>
      <w:proofErr w:type="spellEnd"/>
      <w:r>
        <w:t xml:space="preserve"> είναι το συνολικό ετήσιο κόστος, όπως ορίστηκε στην Ενότητα 3.2.3, C</w:t>
      </w:r>
      <w:r>
        <w:rPr>
          <w:vertAlign w:val="subscript"/>
        </w:rPr>
        <w:t>CAPEX</w:t>
      </w:r>
      <w:r>
        <w:t xml:space="preserve"> είναι οι κεφαλαιουχικές δαπάνες, όπως ορίστηκαν στην Ενότητα 3.2.2, και </w:t>
      </w:r>
      <w:proofErr w:type="spellStart"/>
      <w:r>
        <w:t>R</w:t>
      </w:r>
      <w:r>
        <w:rPr>
          <w:vertAlign w:val="subscript"/>
        </w:rPr>
        <w:t>scrap</w:t>
      </w:r>
      <w:proofErr w:type="spellEnd"/>
      <w:r>
        <w:rPr>
          <w:vertAlign w:val="subscript"/>
        </w:rPr>
        <w:t xml:space="preserve"> </w:t>
      </w:r>
      <w:r>
        <w:t>είναι η υπολειμματική αξία του πλοίου στο τέλος του επενδυτικού ορίζοντα. Χρησιμοποιούνται δύο τυπικοί συντελεστές προεξόφλησης: ο συντελεστής παρούσας αξίας σειράς πληρωμών (</w:t>
      </w:r>
      <w:proofErr w:type="spellStart"/>
      <w:r>
        <w:t>Series</w:t>
      </w:r>
      <w:proofErr w:type="spellEnd"/>
      <w:r>
        <w:t xml:space="preserve"> </w:t>
      </w:r>
      <w:proofErr w:type="spellStart"/>
      <w:r>
        <w:t>Present</w:t>
      </w:r>
      <w:proofErr w:type="spellEnd"/>
      <w:r>
        <w:t xml:space="preserve"> </w:t>
      </w:r>
      <w:proofErr w:type="spellStart"/>
      <w:r>
        <w:t>Worth</w:t>
      </w:r>
      <w:proofErr w:type="spellEnd"/>
      <w:r>
        <w:t xml:space="preserve"> </w:t>
      </w:r>
      <w:proofErr w:type="spellStart"/>
      <w:r>
        <w:t>factor</w:t>
      </w:r>
      <w:proofErr w:type="spellEnd"/>
      <w:r>
        <w:t>), SPW = [(1+i)</w:t>
      </w:r>
      <w:r>
        <w:rPr>
          <w:vertAlign w:val="superscript"/>
        </w:rPr>
        <w:t>N</w:t>
      </w:r>
      <w:r>
        <w:t xml:space="preserve"> − 1] / [i·(1+i)</w:t>
      </w:r>
      <w:r>
        <w:rPr>
          <w:vertAlign w:val="superscript"/>
        </w:rPr>
        <w:t>N</w:t>
      </w:r>
      <w:r>
        <w:t>], ο οποίος μετατρέπει μια σειρά N ίσων ετήσιων καθαρών ταμειακών ροών σε παρούσα αξία, και ο συντελεστής παρούσας αξίας (</w:t>
      </w:r>
      <w:proofErr w:type="spellStart"/>
      <w:r>
        <w:t>Present</w:t>
      </w:r>
      <w:proofErr w:type="spellEnd"/>
      <w:r>
        <w:t xml:space="preserve"> </w:t>
      </w:r>
      <w:proofErr w:type="spellStart"/>
      <w:r>
        <w:t>Worth</w:t>
      </w:r>
      <w:proofErr w:type="spellEnd"/>
      <w:r>
        <w:t xml:space="preserve"> </w:t>
      </w:r>
      <w:proofErr w:type="spellStart"/>
      <w:r>
        <w:t>factor</w:t>
      </w:r>
      <w:proofErr w:type="spellEnd"/>
      <w:r>
        <w:t>), PW = (1+i)</w:t>
      </w:r>
      <w:r>
        <w:rPr>
          <w:vertAlign w:val="superscript"/>
        </w:rPr>
        <w:t>−N</w:t>
      </w:r>
      <w:r>
        <w:t>, ο οποίος μετατρέπει τη μεμονωμένη μελλοντική αξία διάλυσης σε παρούσα αξία. Στη μελέτη περίπτωσης, το προεξοφλητικό επιτόκιο i θεωρείται ίσο με 10% και ο επενδυτικός ορίζοντας N ίσος με 20 έτη.</w:t>
      </w:r>
    </w:p>
    <w:p w14:paraId="254D4E9A" w14:textId="2CC36B07" w:rsidR="00020140" w:rsidRDefault="003C7DFB">
      <w:pPr>
        <w:spacing w:line="360" w:lineRule="auto"/>
        <w:ind w:firstLine="576"/>
        <w:jc w:val="both"/>
      </w:pPr>
      <w:r>
        <w:t>Μια αξιοσημείωτη μεθοδολογική επιλογή της [</w:t>
      </w:r>
      <w:r>
        <w:fldChar w:fldCharType="begin"/>
      </w:r>
      <w:r>
        <w:instrText xml:space="preserve"> REF _Ref_cit_45 \h \* MERGEFORMAT </w:instrText>
      </w:r>
      <w:r>
        <w:fldChar w:fldCharType="separate"/>
      </w:r>
      <w:r w:rsidR="00B0043E" w:rsidRPr="00B0043E">
        <w:t>45</w:t>
      </w:r>
      <w:r>
        <w:fldChar w:fldCharType="end"/>
      </w:r>
      <w:r>
        <w:t xml:space="preserve">] είναι ότι η πλατφόρμα βελτιστοποιεί και αναφέρει την </w:t>
      </w:r>
      <w:proofErr w:type="spellStart"/>
      <w:r>
        <w:t>δNPV</w:t>
      </w:r>
      <w:proofErr w:type="spellEnd"/>
      <w:r>
        <w:t xml:space="preserve"> —τη διαφορά μεταξύ της NPV ενός υποψήφιου σχεδιασμού και της NPV ενός πλοίου αναφοράς που μεταφέρει ισοδύναμο φορτίο— και όχι την απόλυτη τιμή της NPV, με το σκεπτικό ότι η διαφορά αυτή είναι ο πιο ουσιαστικός δείκτης για τη σύγκριση εναλλακτικών σχεδιασμών, αφού απαλείφει τα κοινά για όλους βασικά οικονομικά μεγέθη. Τα αποτελέσματα αναδεικνύουν σαφή αντιστάθμιση μεταξύ των τριών στόχων βελτιστοποίησης</w:t>
      </w:r>
      <w:r w:rsidR="009B295F">
        <w:t>·</w:t>
      </w:r>
      <w:r>
        <w:t xml:space="preserve"> ο σχεδιασμός που μεγιστοποιεί την NPV επιτυγχάνει </w:t>
      </w:r>
      <w:proofErr w:type="spellStart"/>
      <w:r>
        <w:t>δNPV</w:t>
      </w:r>
      <w:proofErr w:type="spellEnd"/>
      <w:r>
        <w:t xml:space="preserve"> +10</w:t>
      </w:r>
      <w:r w:rsidR="009B295F">
        <w:t>,</w:t>
      </w:r>
      <w:r>
        <w:t>3 εκατομμύρια</w:t>
      </w:r>
      <w:r w:rsidR="00A17083">
        <w:t xml:space="preserve"> USD</w:t>
      </w:r>
      <w:r>
        <w:t>,</w:t>
      </w:r>
      <w:r w:rsidR="00721E48">
        <w:t xml:space="preserve"> </w:t>
      </w:r>
      <w:r>
        <w:t>αλλά μόνο μέτρια μείωση των εκπομπών CO₂· ο σχεδιασμός που ελαχιστοποιεί τις εκπομπές CO₂ επιτυγχάνει τη μεγαλύτερη μείωση εκπομπών, αλλά μόνο +0</w:t>
      </w:r>
      <w:r w:rsidR="00323AF4">
        <w:t>,</w:t>
      </w:r>
      <w:r>
        <w:t>5 εκατομμύρια</w:t>
      </w:r>
      <w:r w:rsidR="0094317E">
        <w:t xml:space="preserve"> USD</w:t>
      </w:r>
      <w:r>
        <w:t xml:space="preserve"> σε </w:t>
      </w:r>
      <w:proofErr w:type="spellStart"/>
      <w:r>
        <w:t>δNPV</w:t>
      </w:r>
      <w:proofErr w:type="spellEnd"/>
      <w:r>
        <w:t xml:space="preserve">· ο σχεδιασμός που ελαχιστοποιεί τις CAPEX μειώνει στην πραγματικότητα την </w:t>
      </w:r>
      <w:proofErr w:type="spellStart"/>
      <w:r>
        <w:t>δNPV</w:t>
      </w:r>
      <w:proofErr w:type="spellEnd"/>
      <w:r>
        <w:t xml:space="preserve"> σε −1</w:t>
      </w:r>
      <w:r w:rsidR="00FC2355">
        <w:t>,</w:t>
      </w:r>
      <w:r>
        <w:t>3 εκατομμύρια</w:t>
      </w:r>
      <w:r w:rsidR="00441808">
        <w:t xml:space="preserve"> USD</w:t>
      </w:r>
      <w:r>
        <w:t>, δηλαδή είναι λιγότερο κερδοφόρος από τον σχεδιασμό αναφοράς· και ο ισορροπημένος σχεδιασμός με ίσες σταθμίσεις επιτυγχάνει +</w:t>
      </w:r>
      <w:r w:rsidR="004D68BB">
        <w:t>6</w:t>
      </w:r>
      <w:r w:rsidR="00FC2355">
        <w:t>,</w:t>
      </w:r>
      <w:r>
        <w:t>6 εκατομμύρια</w:t>
      </w:r>
      <w:r w:rsidR="00FC2355">
        <w:t xml:space="preserve"> USD</w:t>
      </w:r>
      <w:r>
        <w:t xml:space="preserve"> σε </w:t>
      </w:r>
      <w:proofErr w:type="spellStart"/>
      <w:r>
        <w:t>δNPV</w:t>
      </w:r>
      <w:proofErr w:type="spellEnd"/>
      <w:r>
        <w:t xml:space="preserve">, σε συνδυασμό με ενδιάμεση τιμή εκπομπών CO₂ και μείωση των CAPEX κατά 7%. Οι συγγραφείς επισημαίνουν ότι η οικονομική </w:t>
      </w:r>
      <w:r>
        <w:lastRenderedPageBreak/>
        <w:t xml:space="preserve">βιωσιμότητα των WAPS, όπως </w:t>
      </w:r>
      <w:proofErr w:type="spellStart"/>
      <w:r>
        <w:t>μετράται</w:t>
      </w:r>
      <w:proofErr w:type="spellEnd"/>
      <w:r>
        <w:t xml:space="preserve"> μέσω της NPV, δεν πρέπει να αξιολογείται μεμονωμένα από την περιβαλλοντική επίδοση και την κανονιστική συμμόρφωση — ζήτημα που αναπτύσσεται περαιτέρω στην Ενότητα 3.5.</w:t>
      </w:r>
    </w:p>
    <w:p w14:paraId="21CD224B" w14:textId="77777777" w:rsidR="00020140" w:rsidRDefault="003C7DFB">
      <w:pPr>
        <w:pStyle w:val="30"/>
      </w:pPr>
      <w:bookmarkStart w:id="131" w:name="_Toc243355302"/>
      <w:r>
        <w:t>Εσωτερικός βαθμός απόδοσης (IRR)</w:t>
      </w:r>
      <w:bookmarkEnd w:id="131"/>
    </w:p>
    <w:p w14:paraId="55A96180" w14:textId="1D9114AC" w:rsidR="00020140" w:rsidRDefault="003C7DFB">
      <w:pPr>
        <w:spacing w:line="360" w:lineRule="auto"/>
        <w:ind w:firstLine="576"/>
        <w:jc w:val="both"/>
      </w:pPr>
      <w:r>
        <w:t xml:space="preserve">Ο εσωτερικός βαθμός απόδοσης (Internal </w:t>
      </w:r>
      <w:proofErr w:type="spellStart"/>
      <w:r>
        <w:t>Rate</w:t>
      </w:r>
      <w:proofErr w:type="spellEnd"/>
      <w:r>
        <w:t xml:space="preserve"> of </w:t>
      </w:r>
      <w:proofErr w:type="spellStart"/>
      <w:r>
        <w:t>Return</w:t>
      </w:r>
      <w:proofErr w:type="spellEnd"/>
      <w:r>
        <w:t>, IRR) είναι το προεξοφλητικό επιτόκιο για το οποίο η NPV ενός έργου μηδενίζεται, και αναφέρεται συχνά παράλληλα με την NPV ως δείκτης κερδοφορίας της επένδυσης ανεξάρτητος από την κλίμακά της. Δεν υπολογίζεται ούτε αναφέρεται στην [</w:t>
      </w:r>
      <w:r>
        <w:fldChar w:fldCharType="begin"/>
      </w:r>
      <w:r>
        <w:instrText xml:space="preserve"> REF _Ref_cit_45 \h \* MERGEFORMAT </w:instrText>
      </w:r>
      <w:r>
        <w:fldChar w:fldCharType="separate"/>
      </w:r>
      <w:r w:rsidR="00B0043E" w:rsidRPr="00B0043E">
        <w:t>45</w:t>
      </w:r>
      <w:r>
        <w:fldChar w:fldCharType="end"/>
      </w:r>
      <w:r>
        <w:t>], της οποίας η οικονομική αξιολόγηση βασίζεται αποκλειστικά στην NPV/</w:t>
      </w:r>
      <w:proofErr w:type="spellStart"/>
      <w:r>
        <w:t>δNPV</w:t>
      </w:r>
      <w:proofErr w:type="spellEnd"/>
      <w:r>
        <w:t>, όπως περιγράφεται στην Ενότητα 3.4.2.</w:t>
      </w:r>
    </w:p>
    <w:p w14:paraId="50731219" w14:textId="200E43DB" w:rsidR="006C4C83" w:rsidRDefault="001A2FEB">
      <w:pPr>
        <w:spacing w:line="360" w:lineRule="auto"/>
        <w:ind w:firstLine="576"/>
        <w:jc w:val="both"/>
      </w:pPr>
      <w:r w:rsidRPr="002E3C0A">
        <w:t>Ο IRR δεν αναφέρεται ρητά ούτε στις υπόλοιπες μελέτες που εξετάζονται σε αυτό το κεφάλαιο [</w:t>
      </w:r>
      <w:r w:rsidRPr="002E3C0A">
        <w:fldChar w:fldCharType="begin"/>
      </w:r>
      <w:r w:rsidRPr="002E3C0A">
        <w:instrText xml:space="preserve"> REF _Ref_cit_40 \h \* MERGEFORMAT </w:instrText>
      </w:r>
      <w:r w:rsidRPr="002E3C0A">
        <w:fldChar w:fldCharType="separate"/>
      </w:r>
      <w:r w:rsidR="00B0043E" w:rsidRPr="00B0043E">
        <w:t>40</w:t>
      </w:r>
      <w:r w:rsidRPr="002E3C0A">
        <w:fldChar w:fldCharType="end"/>
      </w:r>
      <w:r w:rsidRPr="002E3C0A">
        <w:t>], [</w:t>
      </w:r>
      <w:r w:rsidRPr="002E3C0A">
        <w:fldChar w:fldCharType="begin"/>
      </w:r>
      <w:r w:rsidRPr="002E3C0A">
        <w:instrText xml:space="preserve"> REF _Ref_cit_69 \h \* MERGEFORMAT </w:instrText>
      </w:r>
      <w:r w:rsidRPr="002E3C0A">
        <w:fldChar w:fldCharType="separate"/>
      </w:r>
      <w:r w:rsidR="00B0043E" w:rsidRPr="00B0043E">
        <w:t>69</w:t>
      </w:r>
      <w:r w:rsidRPr="002E3C0A">
        <w:fldChar w:fldCharType="end"/>
      </w:r>
      <w:r w:rsidRPr="002E3C0A">
        <w:t>], [</w:t>
      </w:r>
      <w:r w:rsidRPr="002E3C0A">
        <w:fldChar w:fldCharType="begin"/>
      </w:r>
      <w:r w:rsidRPr="002E3C0A">
        <w:instrText xml:space="preserve"> REF _Ref_cit_70 \h \* MERGEFORMAT </w:instrText>
      </w:r>
      <w:r w:rsidRPr="002E3C0A">
        <w:fldChar w:fldCharType="separate"/>
      </w:r>
      <w:r w:rsidR="00B0043E" w:rsidRPr="00B0043E">
        <w:t>70</w:t>
      </w:r>
      <w:r w:rsidRPr="002E3C0A">
        <w:fldChar w:fldCharType="end"/>
      </w:r>
      <w:r w:rsidRPr="002E3C0A">
        <w:t>]</w:t>
      </w:r>
      <w:r w:rsidR="001E1878" w:rsidRPr="002E3C0A">
        <w:t>·</w:t>
      </w:r>
      <w:r w:rsidRPr="002E3C0A">
        <w:t xml:space="preserve"> δίνουν περίοδο αποπληρωμής ή NPV, αλλά όχι το επιτόκιο στο οποίο η NPV μηδενίζεται. Τα δημοσιευμένα στοιχεία επιτρέπουν μόνο ποιοτική ανάγνωση. Για παράδειγμα, οι </w:t>
      </w:r>
      <w:proofErr w:type="spellStart"/>
      <w:r w:rsidRPr="002E3C0A">
        <w:t>Vaghela</w:t>
      </w:r>
      <w:proofErr w:type="spellEnd"/>
      <w:r w:rsidRPr="002E3C0A">
        <w:t xml:space="preserve"> </w:t>
      </w:r>
      <w:proofErr w:type="spellStart"/>
      <w:r w:rsidRPr="002E3C0A">
        <w:t>et</w:t>
      </w:r>
      <w:proofErr w:type="spellEnd"/>
      <w:r w:rsidRPr="002E3C0A">
        <w:t xml:space="preserve"> </w:t>
      </w:r>
      <w:proofErr w:type="spellStart"/>
      <w:r w:rsidRPr="002E3C0A">
        <w:t>al</w:t>
      </w:r>
      <w:proofErr w:type="spellEnd"/>
      <w:r w:rsidRPr="002E3C0A">
        <w:t>. [</w:t>
      </w:r>
      <w:r w:rsidRPr="002E3C0A">
        <w:fldChar w:fldCharType="begin"/>
      </w:r>
      <w:r w:rsidRPr="002E3C0A">
        <w:instrText xml:space="preserve"> REF _Ref_cit_70 \h \* MERGEFORMAT </w:instrText>
      </w:r>
      <w:r w:rsidRPr="002E3C0A">
        <w:fldChar w:fldCharType="separate"/>
      </w:r>
      <w:r w:rsidR="00B0043E" w:rsidRPr="00B0043E">
        <w:t>70</w:t>
      </w:r>
      <w:r w:rsidRPr="002E3C0A">
        <w:fldChar w:fldCharType="end"/>
      </w:r>
      <w:r w:rsidRPr="002E3C0A">
        <w:t xml:space="preserve">] αναφέρουν, για διάρκεια έργου 25 ετών, μέση NPV (προσομοίωση Monte </w:t>
      </w:r>
      <w:proofErr w:type="spellStart"/>
      <w:r w:rsidRPr="002E3C0A">
        <w:t>Carlo</w:t>
      </w:r>
      <w:proofErr w:type="spellEnd"/>
      <w:r w:rsidRPr="002E3C0A">
        <w:t>) περίπου</w:t>
      </w:r>
      <w:r w:rsidR="001E1878" w:rsidRPr="002E3C0A">
        <w:t xml:space="preserve"> </w:t>
      </w:r>
      <w:r w:rsidRPr="002E3C0A">
        <w:t>2</w:t>
      </w:r>
      <w:r w:rsidR="001E1878" w:rsidRPr="002E3C0A">
        <w:t>,</w:t>
      </w:r>
      <w:r w:rsidRPr="002E3C0A">
        <w:t>5 εκατομμύρια</w:t>
      </w:r>
      <w:r w:rsidR="001E1878" w:rsidRPr="002E3C0A">
        <w:t xml:space="preserve"> USD</w:t>
      </w:r>
      <w:r w:rsidRPr="002E3C0A">
        <w:t xml:space="preserve"> στο σενάριο εξοικονόμησης 10</w:t>
      </w:r>
      <w:r w:rsidR="001E1878" w:rsidRPr="002E3C0A">
        <w:t>,</w:t>
      </w:r>
      <w:r w:rsidRPr="002E3C0A">
        <w:t>5% και περίπου 10.6 εκατομμύρια</w:t>
      </w:r>
      <w:r w:rsidR="001E1878" w:rsidRPr="002E3C0A">
        <w:t xml:space="preserve"> USD</w:t>
      </w:r>
      <w:r w:rsidRPr="002E3C0A">
        <w:t xml:space="preserve"> στο σενάριο 18%, ενώ το 10ο εκατοστημόριο της NPV είναι ελαφρώς αρνητικό στο πρώτο σενάριο. Για συμβατικές ταμειακές ροές, θετική NPV σημαίνει ότι ο IRR υπερβαίνει το προεξοφλητικό επιτόκιο που χρησιμοποιήθηκε, ενώ μια οριακά αρνητική NPV στα δυσμενή σενάρια δείχνει ότι σε αυτά ο IRR βρίσκεται κοντά στο επιτόκιο αυτό ή κάτω από αυτό. Συγκεκριμένη τιμή IRR δεν μπορεί όμως να προκύψει χωρίς τις πλήρεις ετήσιες ταμειακές ροές. Ο υπολογισμός του IRR αποτελεί επομένως κενό της βιβλιογραφίας που εξετάστηκε και θα μπορούσε να καλυφθεί σε μελλοντική εργασία με βάση τα δεδομένα των [</w:t>
      </w:r>
      <w:r w:rsidRPr="002E3C0A">
        <w:fldChar w:fldCharType="begin"/>
      </w:r>
      <w:r w:rsidRPr="002E3C0A">
        <w:instrText xml:space="preserve"> REF _Ref_cit_45 \h \* MERGEFORMAT </w:instrText>
      </w:r>
      <w:r w:rsidRPr="002E3C0A">
        <w:fldChar w:fldCharType="separate"/>
      </w:r>
      <w:r w:rsidR="00B0043E" w:rsidRPr="00B0043E">
        <w:t>45</w:t>
      </w:r>
      <w:r w:rsidRPr="002E3C0A">
        <w:fldChar w:fldCharType="end"/>
      </w:r>
      <w:r w:rsidRPr="002E3C0A">
        <w:t>] και [</w:t>
      </w:r>
      <w:r w:rsidRPr="002E3C0A">
        <w:fldChar w:fldCharType="begin"/>
      </w:r>
      <w:r w:rsidRPr="002E3C0A">
        <w:instrText xml:space="preserve"> REF _Ref_cit_70 \h \* MERGEFORMAT </w:instrText>
      </w:r>
      <w:r w:rsidRPr="002E3C0A">
        <w:fldChar w:fldCharType="separate"/>
      </w:r>
      <w:r w:rsidR="00B0043E" w:rsidRPr="00B0043E">
        <w:t>70</w:t>
      </w:r>
      <w:r w:rsidRPr="002E3C0A">
        <w:fldChar w:fldCharType="end"/>
      </w:r>
      <w:r w:rsidRPr="002E3C0A">
        <w:t>].</w:t>
      </w:r>
    </w:p>
    <w:p w14:paraId="5E0E4590" w14:textId="77777777" w:rsidR="00020140" w:rsidRDefault="003C7DFB">
      <w:pPr>
        <w:pStyle w:val="20"/>
      </w:pPr>
      <w:bookmarkStart w:id="132" w:name="_Toc243355303"/>
      <w:r>
        <w:t>Κανονιστικοί παράγοντες και παράγοντες της αγοράς που επηρεάζουν τα οικονομικά μεγέθη</w:t>
      </w:r>
      <w:bookmarkEnd w:id="132"/>
    </w:p>
    <w:p w14:paraId="648F8BE3" w14:textId="203F45BE" w:rsidR="00020140" w:rsidRDefault="003C7DFB">
      <w:pPr>
        <w:spacing w:line="360" w:lineRule="auto"/>
        <w:ind w:firstLine="576"/>
        <w:jc w:val="both"/>
      </w:pPr>
      <w:r>
        <w:t xml:space="preserve">Το κανονιστικό </w:t>
      </w:r>
      <w:r w:rsidR="003250F8">
        <w:t>πλαίσιο</w:t>
      </w:r>
      <w:r>
        <w:t xml:space="preserve"> που συνοψίστηκε στις Ενότητες 1.1.4 και 1.1.5 —η αναθεωρημένη Στρατηγική του IMO του 2023 για τα αέρια θερμοκηπίου, με στόχο μηδενικές καθαρές εκπομπές από τη διεθνή ναυτιλία γύρω στο 2050 [</w:t>
      </w:r>
      <w:r>
        <w:fldChar w:fldCharType="begin"/>
      </w:r>
      <w:r>
        <w:instrText xml:space="preserve"> REF _Ref_cit_9 \h \* MERGEFORMAT </w:instrText>
      </w:r>
      <w:r>
        <w:fldChar w:fldCharType="separate"/>
      </w:r>
      <w:r w:rsidR="00B0043E" w:rsidRPr="00B0043E">
        <w:t>9</w:t>
      </w:r>
      <w:r>
        <w:fldChar w:fldCharType="end"/>
      </w:r>
      <w:r>
        <w:t>], το πλαίσιο ενεργειακής απόδοσης EEDI, EEXI, CII και SEEMP [</w:t>
      </w:r>
      <w:r>
        <w:fldChar w:fldCharType="begin"/>
      </w:r>
      <w:r>
        <w:instrText xml:space="preserve"> REF _Ref_cit_12 \h \* MERGEFORMAT </w:instrText>
      </w:r>
      <w:r>
        <w:fldChar w:fldCharType="separate"/>
      </w:r>
      <w:r w:rsidR="00B0043E" w:rsidRPr="00B0043E">
        <w:t>12</w:t>
      </w:r>
      <w:r>
        <w:fldChar w:fldCharType="end"/>
      </w:r>
      <w:r>
        <w:t>], [</w:t>
      </w:r>
      <w:r>
        <w:fldChar w:fldCharType="begin"/>
      </w:r>
      <w:r>
        <w:instrText xml:space="preserve"> REF _Ref_cit_13 \h \* MERGEFORMAT </w:instrText>
      </w:r>
      <w:r>
        <w:fldChar w:fldCharType="separate"/>
      </w:r>
      <w:r w:rsidR="00B0043E" w:rsidRPr="00B0043E">
        <w:t>13</w:t>
      </w:r>
      <w:r>
        <w:fldChar w:fldCharType="end"/>
      </w:r>
      <w:r>
        <w:t>], [</w:t>
      </w:r>
      <w:r>
        <w:fldChar w:fldCharType="begin"/>
      </w:r>
      <w:r>
        <w:instrText xml:space="preserve"> REF _Ref_cit_14 \h \* MERGEFORMAT </w:instrText>
      </w:r>
      <w:r>
        <w:fldChar w:fldCharType="separate"/>
      </w:r>
      <w:r w:rsidR="00B0043E" w:rsidRPr="00B0043E">
        <w:t>14</w:t>
      </w:r>
      <w:r>
        <w:fldChar w:fldCharType="end"/>
      </w:r>
      <w:r>
        <w:t>], [</w:t>
      </w:r>
      <w:r>
        <w:fldChar w:fldCharType="begin"/>
      </w:r>
      <w:r>
        <w:instrText xml:space="preserve"> REF _Ref_cit_15 \h \* MERGEFORMAT </w:instrText>
      </w:r>
      <w:r>
        <w:fldChar w:fldCharType="separate"/>
      </w:r>
      <w:r w:rsidR="00B0043E" w:rsidRPr="00B0043E">
        <w:t>15</w:t>
      </w:r>
      <w:r>
        <w:fldChar w:fldCharType="end"/>
      </w:r>
      <w:r>
        <w:t xml:space="preserve">], και το επικείμενο Πλαίσιο Μηδενικών Καθαρών Εκπομπών του IMO, που εγκρίθηκε στις γενικές του γραμμές στη MEPC 83 και συνδυάζει υποχρεωτικά όρια εκπομπών με έναν </w:t>
      </w:r>
      <w:r>
        <w:lastRenderedPageBreak/>
        <w:t>παγκόσμιο μηχανισμό τιμολόγησης των αερίων θερμοκηπίου για πλοία άνω των 5</w:t>
      </w:r>
      <w:r w:rsidR="00C75BB6">
        <w:t>.</w:t>
      </w:r>
      <w:r>
        <w:t>000 GT [</w:t>
      </w:r>
      <w:r>
        <w:fldChar w:fldCharType="begin"/>
      </w:r>
      <w:r>
        <w:instrText xml:space="preserve"> REF _Ref_cit_10 \h \* MERGEFORMAT </w:instrText>
      </w:r>
      <w:r>
        <w:fldChar w:fldCharType="separate"/>
      </w:r>
      <w:r w:rsidR="00B0043E" w:rsidRPr="00B0043E">
        <w:t>10</w:t>
      </w:r>
      <w:r>
        <w:fldChar w:fldCharType="end"/>
      </w:r>
      <w:r>
        <w:t>]— δεν δημιουργεί μόνο υποχρεώσεις συμμόρφωσης· αναδιαμορφώνει επίσης άμεσα τα σχετικά οικονομικά των επενδύσεων σε WAPS, καθώς το κόστος και τα πιστωτικά οφέλη της συμμόρφωσης εισέρχονται στον όρο του ετήσιου κόστους του υπολογισμού της NPV που παρουσιάστηκε στην Ενότητα 3.4.2.</w:t>
      </w:r>
    </w:p>
    <w:p w14:paraId="71F676DA" w14:textId="7577E4B2" w:rsidR="00020140" w:rsidRDefault="003C7DFB">
      <w:pPr>
        <w:spacing w:line="360" w:lineRule="auto"/>
        <w:ind w:firstLine="576"/>
        <w:jc w:val="both"/>
      </w:pPr>
      <w:r>
        <w:t xml:space="preserve">Οι </w:t>
      </w:r>
      <w:proofErr w:type="spellStart"/>
      <w:r w:rsidR="00312106">
        <w:t>Πλέσσα</w:t>
      </w:r>
      <w:r w:rsidR="00994D69">
        <w:t>ς</w:t>
      </w:r>
      <w:proofErr w:type="spellEnd"/>
      <w:r w:rsidR="00312106">
        <w:t xml:space="preserve"> και Παπανικολάου</w:t>
      </w:r>
      <w:r>
        <w:t xml:space="preserve"> [</w:t>
      </w:r>
      <w:r>
        <w:fldChar w:fldCharType="begin"/>
      </w:r>
      <w:r>
        <w:instrText xml:space="preserve"> REF _Ref_cit_45 \h \* MERGEFORMAT </w:instrText>
      </w:r>
      <w:r>
        <w:fldChar w:fldCharType="separate"/>
      </w:r>
      <w:r w:rsidR="00B0043E" w:rsidRPr="00B0043E">
        <w:t>45</w:t>
      </w:r>
      <w:r>
        <w:fldChar w:fldCharType="end"/>
      </w:r>
      <w:r>
        <w:t>] ενσωματώνουν άμεσα αυτό το κανονιστικό τοπίο στο οικονομικό τους μοντέλο μέσω των όρων C</w:t>
      </w:r>
      <w:r>
        <w:rPr>
          <w:vertAlign w:val="subscript"/>
        </w:rPr>
        <w:t>ETS</w:t>
      </w:r>
      <w:r>
        <w:t xml:space="preserve">, </w:t>
      </w:r>
      <w:proofErr w:type="spellStart"/>
      <w:r>
        <w:t>C</w:t>
      </w:r>
      <w:r>
        <w:rPr>
          <w:vertAlign w:val="subscript"/>
        </w:rPr>
        <w:t>FuelEU</w:t>
      </w:r>
      <w:proofErr w:type="spellEnd"/>
      <w:r>
        <w:t xml:space="preserve"> και C</w:t>
      </w:r>
      <w:r>
        <w:rPr>
          <w:vertAlign w:val="subscript"/>
        </w:rPr>
        <w:t xml:space="preserve">IMO-NZF </w:t>
      </w:r>
      <w:r>
        <w:t>του ετήσιου κόστους. Το Σύστημα Εμπορίας Δικαιωμάτων Εκπομπών της ΕΕ, το οποίο επεκτάθηκε στη ναυτιλία από το 2024, αναπαρίσταται από έναν όρο C</w:t>
      </w:r>
      <w:r w:rsidRPr="00373864">
        <w:rPr>
          <w:vertAlign w:val="subscript"/>
        </w:rPr>
        <w:t>ETS</w:t>
      </w:r>
      <w:r>
        <w:t xml:space="preserve">, που υπολογίζεται με βάση την εκτιμώμενη ετήσια κατανάλωση καυσίμου και τις εκπομπές CO₂, χρησιμοποιώντας μία υποτιθέμενη μέση τιμή άνθρακα και όχι μια προβλεπόμενη μελλοντική πορεία τιμών. Ο </w:t>
      </w:r>
      <w:proofErr w:type="spellStart"/>
      <w:r>
        <w:t>FuelEU</w:t>
      </w:r>
      <w:proofErr w:type="spellEnd"/>
      <w:r>
        <w:t xml:space="preserve"> Maritime, ο οποίος εφαρμόζεται από το 2025, θέτει ετήσιους στόχους έντασης αερίων θερμοκηπίου σε βάση «από την </w:t>
      </w:r>
      <w:r w:rsidR="00A90EF1">
        <w:t>παραγωγή</w:t>
      </w:r>
      <w:r>
        <w:t xml:space="preserve"> έως την </w:t>
      </w:r>
      <w:r w:rsidR="00A90EF1">
        <w:t>κατανάλωση</w:t>
      </w:r>
      <w:r>
        <w:t>» (</w:t>
      </w:r>
      <w:proofErr w:type="spellStart"/>
      <w:r>
        <w:t>well-to-wake</w:t>
      </w:r>
      <w:proofErr w:type="spellEnd"/>
      <w:r>
        <w:t>), επιβραβεύοντας τα πλοία που επιτυγχάνουν καλύτερη επίδοση από τον στόχο (για παράδειγμα μέσω συγκέντρωσης</w:t>
      </w:r>
      <w:r w:rsidR="001F5B3D">
        <w:t xml:space="preserve"> πλοίων</w:t>
      </w:r>
      <w:r>
        <w:t xml:space="preserve"> —</w:t>
      </w:r>
      <w:proofErr w:type="spellStart"/>
      <w:r>
        <w:t>pooling</w:t>
      </w:r>
      <w:proofErr w:type="spellEnd"/>
      <w:r>
        <w:t xml:space="preserve">— με ένα μη συμμορφούμενο πλοίο) και επιβάλλοντας κυρώσεις σε όσα δεν τον επιτυγχάνουν· ο όρος </w:t>
      </w:r>
      <w:proofErr w:type="spellStart"/>
      <w:r>
        <w:t>C</w:t>
      </w:r>
      <w:r>
        <w:rPr>
          <w:vertAlign w:val="subscript"/>
        </w:rPr>
        <w:t>FuelEU</w:t>
      </w:r>
      <w:proofErr w:type="spellEnd"/>
      <w:r>
        <w:t xml:space="preserve"> βασίζεται μόνο στους αρχικούς στόχους έντασης αερίων θερμοκηπίου του κανονισμού και όχι στις μεταγενέστερες, αυστηρότερες φάσεις του. Επειδή το Πλαίσιο Μηδενικών Καθαρών Εκπομπών του IMO βρισκόταν σε μορφή σχεδίου κατά τον χρόνο εκπόνησης της μελέτης εκείνης, η επίδρασή του στο κόστος (C</w:t>
      </w:r>
      <w:r>
        <w:rPr>
          <w:vertAlign w:val="subscript"/>
        </w:rPr>
        <w:t>IMO-NZF</w:t>
      </w:r>
      <w:r>
        <w:t xml:space="preserve">) προσεγγίζεται κατ’ αναλογία με την ευρωπαϊκή προσέγγιση κανονιστικής τιμολόγησης, αντιμετωπίζοντας ουσιαστικά το πλοίο σαν να υπόκειται πλήρως σε τιμολόγηση άνθρακα ευρωπαϊκού τύπου μέχρι την οριστικοποίηση των κανόνων του IMO. Ο ίδιος ο EEDI αντιμετωπίζεται ως δεσμευτικός περιορισμός </w:t>
      </w:r>
      <w:proofErr w:type="spellStart"/>
      <w:r>
        <w:t>εφικτότητας</w:t>
      </w:r>
      <w:proofErr w:type="spellEnd"/>
      <w:r>
        <w:t xml:space="preserve"> και όχι ως όρος κόστους</w:t>
      </w:r>
      <w:r w:rsidR="00613304">
        <w:t>·</w:t>
      </w:r>
      <w:r>
        <w:t xml:space="preserve"> κάθε σχεδιασμός της μελέτης περίπτωσης πρέπει να ικανοποιεί τη </w:t>
      </w:r>
      <w:r w:rsidR="00CD3B6F">
        <w:t>3</w:t>
      </w:r>
      <w:r w:rsidR="00CD3B6F" w:rsidRPr="00CD3B6F">
        <w:rPr>
          <w:vertAlign w:val="superscript"/>
        </w:rPr>
        <w:t>η</w:t>
      </w:r>
      <w:r w:rsidR="00CD3B6F">
        <w:t xml:space="preserve"> </w:t>
      </w:r>
      <w:r>
        <w:t xml:space="preserve">Φάση του EEDI, ενώ </w:t>
      </w:r>
      <w:proofErr w:type="spellStart"/>
      <w:r>
        <w:t>επικαιροποιημένες</w:t>
      </w:r>
      <w:proofErr w:type="spellEnd"/>
      <w:r>
        <w:t xml:space="preserve"> οδηγίες του IMO αναγνωρίζουν πιστώσεις EEDI για τα WAPS, διευκολύνοντας τη συμμόρφωση με τις προοδευτικά αυστηρότερες φάσεις [</w:t>
      </w:r>
      <w:r>
        <w:fldChar w:fldCharType="begin"/>
      </w:r>
      <w:r>
        <w:instrText xml:space="preserve"> REF _Ref_cit_45 \h \* MERGEFORMAT </w:instrText>
      </w:r>
      <w:r>
        <w:fldChar w:fldCharType="separate"/>
      </w:r>
      <w:r w:rsidR="00B0043E" w:rsidRPr="00B0043E">
        <w:t>45</w:t>
      </w:r>
      <w:r>
        <w:fldChar w:fldCharType="end"/>
      </w:r>
      <w:r>
        <w:t>].</w:t>
      </w:r>
    </w:p>
    <w:p w14:paraId="173A7EE9" w14:textId="4C81FE84" w:rsidR="00020140" w:rsidRDefault="003C7DFB">
      <w:pPr>
        <w:spacing w:line="360" w:lineRule="auto"/>
        <w:ind w:firstLine="576"/>
        <w:jc w:val="both"/>
      </w:pPr>
      <w:r>
        <w:t xml:space="preserve">Η μελέτη περίπτωσης προσφέρει σαφή απεικόνιση του τρόπου με τον οποίο αυτοί οι κανονιστικοί παράγοντες μπορούν να υπερισχύσουν ενός κατά τα λοιπά ευνοϊκού αποτελέσματος NPV. Το πλοίο αναφοράς χωρίς ιστία εμφανίζει την καλύτερη αυτοτελή </w:t>
      </w:r>
      <w:proofErr w:type="spellStart"/>
      <w:r>
        <w:t>δNPV</w:t>
      </w:r>
      <w:proofErr w:type="spellEnd"/>
      <w:r>
        <w:t xml:space="preserve"> από όλους τους σχεδιασμούς που εξετάζονται στην [</w:t>
      </w:r>
      <w:r>
        <w:fldChar w:fldCharType="begin"/>
      </w:r>
      <w:r>
        <w:instrText xml:space="preserve"> REF _Ref_cit_45 \h \* MERGEFORMAT </w:instrText>
      </w:r>
      <w:r>
        <w:fldChar w:fldCharType="separate"/>
      </w:r>
      <w:r w:rsidR="00B0043E" w:rsidRPr="00B0043E">
        <w:t>45</w:t>
      </w:r>
      <w:r>
        <w:fldChar w:fldCharType="end"/>
      </w:r>
      <w:r>
        <w:t>] —πλεονέκτημα + 5.1 εκατομμυρίων</w:t>
      </w:r>
      <w:r w:rsidR="00025C07">
        <w:t xml:space="preserve"> USD</w:t>
      </w:r>
      <w:r>
        <w:t xml:space="preserve"> σε σχέση με το πλοίο αναφοράς με ιστία—, </w:t>
      </w:r>
      <w:r>
        <w:lastRenderedPageBreak/>
        <w:t xml:space="preserve">ωστόσο αποκλείεται ως μη εφικτό, επειδή δεν μπορεί να ικανοποιήσει τη </w:t>
      </w:r>
      <w:r w:rsidR="00025C07">
        <w:t>3</w:t>
      </w:r>
      <w:r w:rsidR="00025C07" w:rsidRPr="00025C07">
        <w:rPr>
          <w:vertAlign w:val="superscript"/>
        </w:rPr>
        <w:t>η</w:t>
      </w:r>
      <w:r w:rsidR="00025C07">
        <w:t xml:space="preserve"> </w:t>
      </w:r>
      <w:r>
        <w:t>Φάση του EEDI. Αυτό καταδεικνύει, τουλάχιστον στο πλαίσιο αυτής της μεμονωμένης μελέτης περίπτωσης, ότι οι απαιτήσεις κανονιστικής συμμόρφωσης, και όχι μόνο η τιμολόγηση του άνθρακα, μπορούν να αποτελέσουν τον δεσμευτικό περιορισμό που καθιστά τα WAPS την οικονομικά ορθολογική επιλογή, ανεξάρτητα από το αν τα WAPS υπερτερούν ως προς την αυτοτελή NPV.</w:t>
      </w:r>
    </w:p>
    <w:p w14:paraId="3A2371E8" w14:textId="1CE5DBD7" w:rsidR="00020140" w:rsidRDefault="003C7DFB">
      <w:pPr>
        <w:spacing w:line="360" w:lineRule="auto"/>
        <w:ind w:firstLine="576"/>
        <w:jc w:val="both"/>
      </w:pPr>
      <w:r>
        <w:t>Πέρα από την έκθεση σε κανονιστικό κόστος, τα οικονομικά των WAPS εκτίθενται επίσης στην ίδια μεταβλητότητα της αγοράς που εντοπίστηκε ήδη στην Ενότητα 1.1.7 ως παράγοντας που επηρεάζει ευρύτερα τον ναυτιλιακό κλάδο</w:t>
      </w:r>
      <w:r w:rsidR="00E84300">
        <w:t>·</w:t>
      </w:r>
      <w:r>
        <w:t xml:space="preserve"> οι ναύλοι καθορίζονται από τον όγκο του εμπορίου, τις συναλλαγματικές ισοτιμίες και τις τιμές των βασικών εμπορευμάτων και υπήρξαν ιδιαίτερα ευμετάβλητοι εν μέσω των πρόσφατων γεωπολιτικών εξελίξεων [</w:t>
      </w:r>
      <w:r>
        <w:fldChar w:fldCharType="begin"/>
      </w:r>
      <w:r>
        <w:instrText xml:space="preserve"> REF _Ref_cit_31 \h \* MERGEFORMAT </w:instrText>
      </w:r>
      <w:r>
        <w:fldChar w:fldCharType="separate"/>
      </w:r>
      <w:r w:rsidR="00B0043E" w:rsidRPr="00B0043E">
        <w:t>31</w:t>
      </w:r>
      <w:r>
        <w:fldChar w:fldCharType="end"/>
      </w:r>
      <w:r>
        <w:t>], ενώ οι τιμές των ορυκτών καυσίμων είναι ιδιαίτερα ευαίσθητες σε γεωπολιτικ</w:t>
      </w:r>
      <w:r w:rsidR="00966048">
        <w:t>ές αναταράξεις</w:t>
      </w:r>
      <w:r>
        <w:t xml:space="preserve"> και αιφνίδιες μεταβολές της ζήτησης, με τις μεταβολές των τιμών καυσίμων να ενδέχεται να συσχετίζονται με τους ναύλους με τρόπους που δυσχεραίνουν την παραδοχή ότι η τιμή του καυσίμου είναι εξωγενής ως προς τα λειτουργικά </w:t>
      </w:r>
      <w:r w:rsidR="009373E3">
        <w:t>έξοδα</w:t>
      </w:r>
      <w:r>
        <w:t xml:space="preserve"> ενός πλοίου [</w:t>
      </w:r>
      <w:r>
        <w:fldChar w:fldCharType="begin"/>
      </w:r>
      <w:r>
        <w:instrText xml:space="preserve"> REF _Ref_cit_32 \h \* MERGEFORMAT </w:instrText>
      </w:r>
      <w:r>
        <w:fldChar w:fldCharType="separate"/>
      </w:r>
      <w:r w:rsidR="00B0043E" w:rsidRPr="00B0043E">
        <w:t>32</w:t>
      </w:r>
      <w:r>
        <w:fldChar w:fldCharType="end"/>
      </w:r>
      <w:r>
        <w:t>], [</w:t>
      </w:r>
      <w:r>
        <w:fldChar w:fldCharType="begin"/>
      </w:r>
      <w:r>
        <w:instrText xml:space="preserve"> REF _Ref_cit_33 \h \* MERGEFORMAT </w:instrText>
      </w:r>
      <w:r>
        <w:fldChar w:fldCharType="separate"/>
      </w:r>
      <w:r w:rsidR="00B0043E" w:rsidRPr="00B0043E">
        <w:t>33</w:t>
      </w:r>
      <w:r>
        <w:fldChar w:fldCharType="end"/>
      </w:r>
      <w:r>
        <w:t>]. Η [</w:t>
      </w:r>
      <w:r>
        <w:fldChar w:fldCharType="begin"/>
      </w:r>
      <w:r>
        <w:instrText xml:space="preserve"> REF _Ref_cit_45 \h \* MERGEFORMAT </w:instrText>
      </w:r>
      <w:r>
        <w:fldChar w:fldCharType="separate"/>
      </w:r>
      <w:r w:rsidR="00B0043E" w:rsidRPr="00B0043E">
        <w:t>45</w:t>
      </w:r>
      <w:r>
        <w:fldChar w:fldCharType="end"/>
      </w:r>
      <w:r>
        <w:t>] αντιμετωπίζει την τιμή του καυσίμου ως σταθερή και όχι ως μεταβλητή παράμετρο εισόδου στο ετήσιο κόστος, οπότε η αλληλεπίδραση μεταξύ της μεταβλητότητας των τιμών ναυτιλιακών καυσίμων και των ναύλων και των αποδόσεων των επενδύσεων σε WAPS δεν αποτυπώνεται ποσοτικά στα αποτελέσματά της, παρότι η εξοικονόμηση κόστους καυσίμου αποτελεί το κύριο λειτουργικό όφελος που καθορίζει την κερδοφορία των WAPS.</w:t>
      </w:r>
    </w:p>
    <w:p w14:paraId="7CD5B322" w14:textId="77777777" w:rsidR="00020140" w:rsidRDefault="003C7DFB">
      <w:pPr>
        <w:pStyle w:val="20"/>
      </w:pPr>
      <w:bookmarkStart w:id="133" w:name="_Toc243355304"/>
      <w:r>
        <w:t>Συγκριτική τεχνικοοικονομική επισκόπηση ανά τεχνολογία WAPS</w:t>
      </w:r>
      <w:bookmarkEnd w:id="133"/>
    </w:p>
    <w:p w14:paraId="2D462819" w14:textId="48B05329" w:rsidR="00020140" w:rsidRDefault="003C7DFB">
      <w:pPr>
        <w:spacing w:line="360" w:lineRule="auto"/>
        <w:ind w:firstLine="576"/>
        <w:jc w:val="both"/>
      </w:pPr>
      <w:r>
        <w:t xml:space="preserve">Ο </w:t>
      </w:r>
      <w:r w:rsidRPr="00D20026">
        <w:rPr>
          <w:b/>
          <w:bCs/>
        </w:rPr>
        <w:t>Πίνακας 1</w:t>
      </w:r>
      <w:r>
        <w:t xml:space="preserve"> συγκεντρώνει τα τεχνοοικονομικά στοιχεία που συλλέχθηκαν στο παρόν κεφάλαιο και στο Κεφάλαιο 2 για τις τέσσερις τεχνολογίες WAPS που εξετάζονται στην παρούσα εργασία. Διακρίνει τις παθητικές τεχνολογίες (άκαμπτα ιστία, ιστία-χαρταετοί), οι οποίες παράγουν ώση αποκλειστικά αεροδυναμικά, από τις ενεργές τεχνολογίες (ιστία-</w:t>
      </w:r>
      <w:proofErr w:type="spellStart"/>
      <w:r>
        <w:t>ρότορες</w:t>
      </w:r>
      <w:proofErr w:type="spellEnd"/>
      <w:r>
        <w:t>, πτέρυγες αναρρόφησης), οι οποίες απαιτούν επιπλέον βοηθητική ισχύ για κινητήρες ή ανεμιστήρες [</w:t>
      </w:r>
      <w:r>
        <w:fldChar w:fldCharType="begin"/>
      </w:r>
      <w:r>
        <w:instrText xml:space="preserve"> REF _Ref_cit_39 \h \* MERGEFORMAT </w:instrText>
      </w:r>
      <w:r>
        <w:fldChar w:fldCharType="separate"/>
      </w:r>
      <w:r w:rsidR="00B0043E" w:rsidRPr="00B0043E">
        <w:t>39</w:t>
      </w:r>
      <w:r>
        <w:fldChar w:fldCharType="end"/>
      </w:r>
      <w:r>
        <w:t>], [</w:t>
      </w:r>
      <w:r>
        <w:fldChar w:fldCharType="begin"/>
      </w:r>
      <w:r>
        <w:instrText xml:space="preserve"> REF _Ref_cit_41 \h \* MERGEFORMAT </w:instrText>
      </w:r>
      <w:r>
        <w:fldChar w:fldCharType="separate"/>
      </w:r>
      <w:r w:rsidR="00B0043E" w:rsidRPr="00B0043E">
        <w:t>41</w:t>
      </w:r>
      <w:r>
        <w:fldChar w:fldCharType="end"/>
      </w:r>
      <w:r>
        <w:t>], [</w:t>
      </w:r>
      <w:r>
        <w:fldChar w:fldCharType="begin"/>
      </w:r>
      <w:r>
        <w:instrText xml:space="preserve"> REF _Ref_cit_42 \h \* MERGEFORMAT </w:instrText>
      </w:r>
      <w:r>
        <w:fldChar w:fldCharType="separate"/>
      </w:r>
      <w:r w:rsidR="00B0043E" w:rsidRPr="00B0043E">
        <w:t>42</w:t>
      </w:r>
      <w:r>
        <w:fldChar w:fldCharType="end"/>
      </w:r>
      <w:r>
        <w:t>], [</w:t>
      </w:r>
      <w:r>
        <w:fldChar w:fldCharType="begin"/>
      </w:r>
      <w:r>
        <w:instrText xml:space="preserve"> REF _Ref_cit_45 \h \* MERGEFORMAT </w:instrText>
      </w:r>
      <w:r>
        <w:fldChar w:fldCharType="separate"/>
      </w:r>
      <w:r w:rsidR="00B0043E" w:rsidRPr="00B0043E">
        <w:t>45</w:t>
      </w:r>
      <w:r>
        <w:fldChar w:fldCharType="end"/>
      </w:r>
      <w:r>
        <w:t>]. Όπως φαίνεται στον πίνακα, το εύρος των διαθέσιμων τεχνοοικονομικών δεδομένων διαφέρει σημαντικά ανά τεχνολογία: τα ιστία-</w:t>
      </w:r>
      <w:proofErr w:type="spellStart"/>
      <w:r>
        <w:t>ρότορες</w:t>
      </w:r>
      <w:proofErr w:type="spellEnd"/>
      <w:r>
        <w:t xml:space="preserve"> διαθέτουν την πιο εδραιωμένη εξειδικευμένη  βιβλιογραφία, στην οποία το κόστος επένδυσης, η τιμή του καυσίμου </w:t>
      </w:r>
      <w:r>
        <w:lastRenderedPageBreak/>
        <w:t>και η τιμολόγηση του άνθρακα αναγνωρίζονται ως οι κύριοι καθοριστικοί παράγοντες της οικονομικής βιωσιμότητας [</w:t>
      </w:r>
      <w:r>
        <w:fldChar w:fldCharType="begin"/>
      </w:r>
      <w:r>
        <w:instrText xml:space="preserve"> REF _Ref_cit_40 \h \* MERGEFORMAT </w:instrText>
      </w:r>
      <w:r>
        <w:fldChar w:fldCharType="separate"/>
      </w:r>
      <w:r w:rsidR="00B0043E" w:rsidRPr="00B0043E">
        <w:t>40</w:t>
      </w:r>
      <w:r>
        <w:fldChar w:fldCharType="end"/>
      </w:r>
      <w:r>
        <w:t xml:space="preserve">], ενώ τα άκαμπτα ιστία διαθέτουν την πιο λεπτομερή ποσοτική </w:t>
      </w:r>
      <w:proofErr w:type="spellStart"/>
      <w:r>
        <w:t>μοντελοποίηση</w:t>
      </w:r>
      <w:proofErr w:type="spellEnd"/>
      <w:r>
        <w:t xml:space="preserve"> CAPEX, εκπομπών CO₂ και NPV, μέσω της μελέτης περίπτωσης βελτιστοποίησης σχεδιασμού της [</w:t>
      </w:r>
      <w:r>
        <w:fldChar w:fldCharType="begin"/>
      </w:r>
      <w:r>
        <w:instrText xml:space="preserve"> REF _Ref_cit_45 \h \* MERGEFORMAT </w:instrText>
      </w:r>
      <w:r>
        <w:fldChar w:fldCharType="separate"/>
      </w:r>
      <w:r w:rsidR="00B0043E" w:rsidRPr="00B0043E">
        <w:t>45</w:t>
      </w:r>
      <w:r>
        <w:fldChar w:fldCharType="end"/>
      </w:r>
      <w:r>
        <w:t>].</w:t>
      </w:r>
    </w:p>
    <w:p w14:paraId="75280817" w14:textId="469BCEFF" w:rsidR="00E96A37" w:rsidRDefault="00E96A37">
      <w:r>
        <w:br w:type="page"/>
      </w:r>
    </w:p>
    <w:p w14:paraId="777D0D96" w14:textId="196BE6FC" w:rsidR="00020140" w:rsidRDefault="003C7DFB">
      <w:pPr>
        <w:pStyle w:val="af2"/>
        <w:jc w:val="center"/>
        <w:rPr>
          <w:b/>
          <w:bCs/>
          <w:noProof/>
        </w:rPr>
      </w:pPr>
      <w:r>
        <w:rPr>
          <w:b/>
          <w:bCs/>
        </w:rPr>
        <w:lastRenderedPageBreak/>
        <w:t xml:space="preserve">Πίνακας </w:t>
      </w:r>
      <w:r>
        <w:rPr>
          <w:b/>
          <w:bCs/>
        </w:rPr>
        <w:fldChar w:fldCharType="begin"/>
      </w:r>
      <w:r>
        <w:rPr>
          <w:b/>
          <w:bCs/>
        </w:rPr>
        <w:instrText xml:space="preserve"> SEQ Table \* ARABIC </w:instrText>
      </w:r>
      <w:r>
        <w:rPr>
          <w:b/>
          <w:bCs/>
        </w:rPr>
        <w:fldChar w:fldCharType="separate"/>
      </w:r>
      <w:r w:rsidR="00B0043E">
        <w:rPr>
          <w:b/>
          <w:bCs/>
          <w:noProof/>
        </w:rPr>
        <w:t>1</w:t>
      </w:r>
      <w:r>
        <w:rPr>
          <w:b/>
          <w:bCs/>
        </w:rPr>
        <w:fldChar w:fldCharType="end"/>
      </w:r>
      <w:r>
        <w:rPr>
          <w:b/>
          <w:bCs/>
        </w:rPr>
        <w:t>: Συγκριτική τεχνικοοικονομική σύνοψη ανά τεχνολογία WAPS, με βάση τις πηγές που εξετάστηκαν.</w:t>
      </w:r>
    </w:p>
    <w:tbl>
      <w:tblPr>
        <w:tblW w:w="864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1468"/>
        <w:gridCol w:w="1537"/>
        <w:gridCol w:w="2807"/>
        <w:gridCol w:w="2828"/>
      </w:tblGrid>
      <w:tr w:rsidR="00020140" w14:paraId="35B951A1" w14:textId="77777777">
        <w:tc>
          <w:tcPr>
            <w:tcW w:w="1500" w:type="dxa"/>
            <w:shd w:val="clear" w:color="auto" w:fill="D9D9D9"/>
            <w:tcMar>
              <w:top w:w="60" w:type="dxa"/>
              <w:left w:w="100" w:type="dxa"/>
              <w:bottom w:w="60" w:type="dxa"/>
              <w:right w:w="100" w:type="dxa"/>
            </w:tcMar>
            <w:vAlign w:val="center"/>
          </w:tcPr>
          <w:p w14:paraId="137F30C6" w14:textId="77777777" w:rsidR="00020140" w:rsidRDefault="003C7DFB" w:rsidP="00535231">
            <w:pPr>
              <w:spacing w:after="0" w:line="240" w:lineRule="auto"/>
              <w:jc w:val="center"/>
              <w:rPr>
                <w:sz w:val="18"/>
                <w:szCs w:val="18"/>
              </w:rPr>
            </w:pPr>
            <w:r>
              <w:rPr>
                <w:b/>
                <w:bCs/>
                <w:sz w:val="18"/>
                <w:szCs w:val="18"/>
              </w:rPr>
              <w:t>Τεχνολογία WAPS</w:t>
            </w:r>
          </w:p>
        </w:tc>
        <w:tc>
          <w:tcPr>
            <w:tcW w:w="1300" w:type="dxa"/>
            <w:shd w:val="clear" w:color="auto" w:fill="D9D9D9"/>
            <w:tcMar>
              <w:top w:w="60" w:type="dxa"/>
              <w:left w:w="100" w:type="dxa"/>
              <w:bottom w:w="60" w:type="dxa"/>
              <w:right w:w="100" w:type="dxa"/>
            </w:tcMar>
            <w:vAlign w:val="center"/>
          </w:tcPr>
          <w:p w14:paraId="117EEA62" w14:textId="77777777" w:rsidR="00020140" w:rsidRDefault="003C7DFB" w:rsidP="00535231">
            <w:pPr>
              <w:spacing w:after="0" w:line="240" w:lineRule="auto"/>
              <w:jc w:val="center"/>
              <w:rPr>
                <w:sz w:val="18"/>
                <w:szCs w:val="18"/>
              </w:rPr>
            </w:pPr>
            <w:r>
              <w:rPr>
                <w:b/>
                <w:bCs/>
                <w:sz w:val="18"/>
                <w:szCs w:val="18"/>
              </w:rPr>
              <w:t>Τύπος συστήματος</w:t>
            </w:r>
          </w:p>
        </w:tc>
        <w:tc>
          <w:tcPr>
            <w:tcW w:w="2900" w:type="dxa"/>
            <w:shd w:val="clear" w:color="auto" w:fill="D9D9D9"/>
            <w:tcMar>
              <w:top w:w="60" w:type="dxa"/>
              <w:left w:w="100" w:type="dxa"/>
              <w:bottom w:w="60" w:type="dxa"/>
              <w:right w:w="100" w:type="dxa"/>
            </w:tcMar>
            <w:vAlign w:val="center"/>
          </w:tcPr>
          <w:p w14:paraId="4CF26BE5" w14:textId="77777777" w:rsidR="00020140" w:rsidRDefault="003C7DFB" w:rsidP="00535231">
            <w:pPr>
              <w:spacing w:after="0" w:line="240" w:lineRule="auto"/>
              <w:jc w:val="center"/>
              <w:rPr>
                <w:sz w:val="18"/>
                <w:szCs w:val="18"/>
              </w:rPr>
            </w:pPr>
            <w:r>
              <w:rPr>
                <w:b/>
                <w:bCs/>
                <w:sz w:val="18"/>
                <w:szCs w:val="18"/>
              </w:rPr>
              <w:t>Αναφερόμενη εξοικονόμηση καυσίμου/ενέργειας</w:t>
            </w:r>
          </w:p>
        </w:tc>
        <w:tc>
          <w:tcPr>
            <w:tcW w:w="2940" w:type="dxa"/>
            <w:shd w:val="clear" w:color="auto" w:fill="D9D9D9"/>
            <w:tcMar>
              <w:top w:w="60" w:type="dxa"/>
              <w:left w:w="100" w:type="dxa"/>
              <w:bottom w:w="60" w:type="dxa"/>
              <w:right w:w="100" w:type="dxa"/>
            </w:tcMar>
            <w:vAlign w:val="center"/>
          </w:tcPr>
          <w:p w14:paraId="0B22162C" w14:textId="77777777" w:rsidR="00020140" w:rsidRDefault="003C7DFB" w:rsidP="00535231">
            <w:pPr>
              <w:spacing w:after="0" w:line="240" w:lineRule="auto"/>
              <w:jc w:val="center"/>
              <w:rPr>
                <w:sz w:val="18"/>
                <w:szCs w:val="18"/>
              </w:rPr>
            </w:pPr>
            <w:r>
              <w:rPr>
                <w:b/>
                <w:bCs/>
                <w:sz w:val="18"/>
                <w:szCs w:val="18"/>
              </w:rPr>
              <w:t>Παρατηρήσεις για το κόστος και τα οικονομικά</w:t>
            </w:r>
          </w:p>
        </w:tc>
      </w:tr>
      <w:tr w:rsidR="00020140" w14:paraId="63961C0C" w14:textId="77777777">
        <w:tc>
          <w:tcPr>
            <w:tcW w:w="1500" w:type="dxa"/>
            <w:tcMar>
              <w:top w:w="60" w:type="dxa"/>
              <w:left w:w="100" w:type="dxa"/>
              <w:bottom w:w="60" w:type="dxa"/>
              <w:right w:w="100" w:type="dxa"/>
            </w:tcMar>
            <w:vAlign w:val="center"/>
          </w:tcPr>
          <w:p w14:paraId="217D5772" w14:textId="77777777" w:rsidR="00020140" w:rsidRDefault="003C7DFB" w:rsidP="00535231">
            <w:pPr>
              <w:spacing w:after="0" w:line="240" w:lineRule="auto"/>
              <w:jc w:val="center"/>
              <w:rPr>
                <w:sz w:val="18"/>
                <w:szCs w:val="18"/>
              </w:rPr>
            </w:pPr>
            <w:r>
              <w:rPr>
                <w:sz w:val="18"/>
                <w:szCs w:val="18"/>
              </w:rPr>
              <w:t>Ιστίο-</w:t>
            </w:r>
            <w:proofErr w:type="spellStart"/>
            <w:r>
              <w:rPr>
                <w:sz w:val="18"/>
                <w:szCs w:val="18"/>
              </w:rPr>
              <w:t>ρότορας</w:t>
            </w:r>
            <w:proofErr w:type="spellEnd"/>
            <w:r>
              <w:rPr>
                <w:sz w:val="18"/>
                <w:szCs w:val="18"/>
              </w:rPr>
              <w:t xml:space="preserve"> (</w:t>
            </w:r>
            <w:proofErr w:type="spellStart"/>
            <w:r>
              <w:rPr>
                <w:sz w:val="18"/>
                <w:szCs w:val="18"/>
              </w:rPr>
              <w:t>Flettner</w:t>
            </w:r>
            <w:proofErr w:type="spellEnd"/>
            <w:r>
              <w:rPr>
                <w:sz w:val="18"/>
                <w:szCs w:val="18"/>
              </w:rPr>
              <w:t>)</w:t>
            </w:r>
          </w:p>
        </w:tc>
        <w:tc>
          <w:tcPr>
            <w:tcW w:w="1300" w:type="dxa"/>
            <w:tcMar>
              <w:top w:w="60" w:type="dxa"/>
              <w:left w:w="100" w:type="dxa"/>
              <w:bottom w:w="60" w:type="dxa"/>
              <w:right w:w="100" w:type="dxa"/>
            </w:tcMar>
            <w:vAlign w:val="center"/>
          </w:tcPr>
          <w:p w14:paraId="60906E9A" w14:textId="77777777" w:rsidR="00020140" w:rsidRDefault="003C7DFB" w:rsidP="00535231">
            <w:pPr>
              <w:spacing w:after="0" w:line="240" w:lineRule="auto"/>
              <w:jc w:val="center"/>
              <w:rPr>
                <w:sz w:val="18"/>
                <w:szCs w:val="18"/>
              </w:rPr>
            </w:pPr>
            <w:r>
              <w:rPr>
                <w:sz w:val="18"/>
                <w:szCs w:val="18"/>
              </w:rPr>
              <w:t>Ενεργό – ηλεκτροκινητήρας</w:t>
            </w:r>
          </w:p>
        </w:tc>
        <w:tc>
          <w:tcPr>
            <w:tcW w:w="2900" w:type="dxa"/>
            <w:tcMar>
              <w:top w:w="60" w:type="dxa"/>
              <w:left w:w="100" w:type="dxa"/>
              <w:bottom w:w="60" w:type="dxa"/>
              <w:right w:w="100" w:type="dxa"/>
            </w:tcMar>
            <w:vAlign w:val="center"/>
          </w:tcPr>
          <w:p w14:paraId="1FF00102" w14:textId="56F76BA9" w:rsidR="00020140" w:rsidRDefault="003C7DFB" w:rsidP="00535231">
            <w:pPr>
              <w:spacing w:after="0" w:line="240" w:lineRule="auto"/>
              <w:jc w:val="center"/>
              <w:rPr>
                <w:sz w:val="18"/>
                <w:szCs w:val="18"/>
              </w:rPr>
            </w:pPr>
            <w:r>
              <w:rPr>
                <w:sz w:val="18"/>
                <w:szCs w:val="18"/>
              </w:rPr>
              <w:t>Τυπικά 4–15%· έως 25% υπό ευνοϊκές συνθήκες [</w:t>
            </w:r>
            <w:r>
              <w:rPr>
                <w:sz w:val="18"/>
                <w:szCs w:val="18"/>
              </w:rPr>
              <w:fldChar w:fldCharType="begin"/>
            </w:r>
            <w:r>
              <w:rPr>
                <w:sz w:val="18"/>
                <w:szCs w:val="18"/>
              </w:rPr>
              <w:instrText xml:space="preserve"> REF _Ref_cit_39 \h \* MERGEFORMAT </w:instrText>
            </w:r>
            <w:r>
              <w:rPr>
                <w:sz w:val="18"/>
                <w:szCs w:val="18"/>
              </w:rPr>
            </w:r>
            <w:r>
              <w:rPr>
                <w:sz w:val="18"/>
                <w:szCs w:val="18"/>
              </w:rPr>
              <w:fldChar w:fldCharType="separate"/>
            </w:r>
            <w:r w:rsidR="00B0043E" w:rsidRPr="00B0043E">
              <w:rPr>
                <w:sz w:val="18"/>
                <w:szCs w:val="18"/>
              </w:rPr>
              <w:t>39</w:t>
            </w:r>
            <w:r>
              <w:rPr>
                <w:sz w:val="18"/>
                <w:szCs w:val="18"/>
              </w:rPr>
              <w:fldChar w:fldCharType="end"/>
            </w:r>
            <w:r>
              <w:rPr>
                <w:sz w:val="18"/>
                <w:szCs w:val="18"/>
              </w:rPr>
              <w:t>]</w:t>
            </w:r>
          </w:p>
        </w:tc>
        <w:tc>
          <w:tcPr>
            <w:tcW w:w="2940" w:type="dxa"/>
            <w:tcMar>
              <w:top w:w="60" w:type="dxa"/>
              <w:left w:w="100" w:type="dxa"/>
              <w:bottom w:w="60" w:type="dxa"/>
              <w:right w:w="100" w:type="dxa"/>
            </w:tcMar>
            <w:vAlign w:val="center"/>
          </w:tcPr>
          <w:p w14:paraId="55637541" w14:textId="14794713" w:rsidR="00020140" w:rsidRDefault="003C7DFB" w:rsidP="00535231">
            <w:pPr>
              <w:spacing w:after="0" w:line="240" w:lineRule="auto"/>
              <w:jc w:val="center"/>
              <w:rPr>
                <w:sz w:val="18"/>
                <w:szCs w:val="18"/>
              </w:rPr>
            </w:pPr>
            <w:r>
              <w:rPr>
                <w:sz w:val="18"/>
                <w:szCs w:val="18"/>
              </w:rPr>
              <w:t>Κινείται από ηλεκτροκινητήρες, αλλά η κατανάλωση ενέργειας είναι μικρή σε σχέση με την παραγόμενη ώση· η οικονομική βιωσιμότητα καθορίζεται από το κόστος επένδυσης, την τιμή του καυσίμου, την τιμολόγηση του άνθρακα και το λειτουργικό προφίλ [</w:t>
            </w:r>
            <w:r>
              <w:rPr>
                <w:sz w:val="18"/>
                <w:szCs w:val="18"/>
              </w:rPr>
              <w:fldChar w:fldCharType="begin"/>
            </w:r>
            <w:r>
              <w:rPr>
                <w:sz w:val="18"/>
                <w:szCs w:val="18"/>
              </w:rPr>
              <w:instrText xml:space="preserve"> REF _Ref_cit_39 \h \* MERGEFORMAT </w:instrText>
            </w:r>
            <w:r>
              <w:rPr>
                <w:sz w:val="18"/>
                <w:szCs w:val="18"/>
              </w:rPr>
            </w:r>
            <w:r>
              <w:rPr>
                <w:sz w:val="18"/>
                <w:szCs w:val="18"/>
              </w:rPr>
              <w:fldChar w:fldCharType="separate"/>
            </w:r>
            <w:r w:rsidR="00B0043E" w:rsidRPr="00B0043E">
              <w:rPr>
                <w:sz w:val="18"/>
                <w:szCs w:val="18"/>
              </w:rPr>
              <w:t>39</w:t>
            </w:r>
            <w:r>
              <w:rPr>
                <w:sz w:val="18"/>
                <w:szCs w:val="18"/>
              </w:rPr>
              <w:fldChar w:fldCharType="end"/>
            </w:r>
            <w:r>
              <w:rPr>
                <w:sz w:val="18"/>
                <w:szCs w:val="18"/>
              </w:rPr>
              <w:t>], [</w:t>
            </w:r>
            <w:r>
              <w:rPr>
                <w:sz w:val="18"/>
                <w:szCs w:val="18"/>
              </w:rPr>
              <w:fldChar w:fldCharType="begin"/>
            </w:r>
            <w:r>
              <w:rPr>
                <w:sz w:val="18"/>
                <w:szCs w:val="18"/>
              </w:rPr>
              <w:instrText xml:space="preserve"> REF _Ref_cit_40 \h \* MERGEFORMAT </w:instrText>
            </w:r>
            <w:r>
              <w:rPr>
                <w:sz w:val="18"/>
                <w:szCs w:val="18"/>
              </w:rPr>
            </w:r>
            <w:r>
              <w:rPr>
                <w:sz w:val="18"/>
                <w:szCs w:val="18"/>
              </w:rPr>
              <w:fldChar w:fldCharType="separate"/>
            </w:r>
            <w:r w:rsidR="00B0043E" w:rsidRPr="00B0043E">
              <w:rPr>
                <w:sz w:val="18"/>
                <w:szCs w:val="18"/>
              </w:rPr>
              <w:t>40</w:t>
            </w:r>
            <w:r>
              <w:rPr>
                <w:sz w:val="18"/>
                <w:szCs w:val="18"/>
              </w:rPr>
              <w:fldChar w:fldCharType="end"/>
            </w:r>
            <w:r>
              <w:rPr>
                <w:sz w:val="18"/>
                <w:szCs w:val="18"/>
              </w:rPr>
              <w:t>]</w:t>
            </w:r>
          </w:p>
        </w:tc>
      </w:tr>
      <w:tr w:rsidR="00020140" w14:paraId="6F4A53E7" w14:textId="77777777">
        <w:tc>
          <w:tcPr>
            <w:tcW w:w="1500" w:type="dxa"/>
            <w:tcMar>
              <w:top w:w="60" w:type="dxa"/>
              <w:left w:w="100" w:type="dxa"/>
              <w:bottom w:w="60" w:type="dxa"/>
              <w:right w:w="100" w:type="dxa"/>
            </w:tcMar>
            <w:vAlign w:val="center"/>
          </w:tcPr>
          <w:p w14:paraId="10BEE59C" w14:textId="77777777" w:rsidR="00020140" w:rsidRDefault="003C7DFB" w:rsidP="00535231">
            <w:pPr>
              <w:spacing w:after="0" w:line="240" w:lineRule="auto"/>
              <w:jc w:val="center"/>
              <w:rPr>
                <w:sz w:val="18"/>
                <w:szCs w:val="18"/>
              </w:rPr>
            </w:pPr>
            <w:r>
              <w:rPr>
                <w:sz w:val="18"/>
                <w:szCs w:val="18"/>
              </w:rPr>
              <w:t>Πτέρυγα αναρρόφησης</w:t>
            </w:r>
          </w:p>
        </w:tc>
        <w:tc>
          <w:tcPr>
            <w:tcW w:w="1300" w:type="dxa"/>
            <w:tcMar>
              <w:top w:w="60" w:type="dxa"/>
              <w:left w:w="100" w:type="dxa"/>
              <w:bottom w:w="60" w:type="dxa"/>
              <w:right w:w="100" w:type="dxa"/>
            </w:tcMar>
            <w:vAlign w:val="center"/>
          </w:tcPr>
          <w:p w14:paraId="067B3EB5" w14:textId="77777777" w:rsidR="00020140" w:rsidRDefault="003C7DFB" w:rsidP="00535231">
            <w:pPr>
              <w:spacing w:after="0" w:line="240" w:lineRule="auto"/>
              <w:jc w:val="center"/>
              <w:rPr>
                <w:sz w:val="18"/>
                <w:szCs w:val="18"/>
              </w:rPr>
            </w:pPr>
            <w:r>
              <w:rPr>
                <w:sz w:val="18"/>
                <w:szCs w:val="18"/>
              </w:rPr>
              <w:t>Ενεργό – με υποβοήθηση ανεμιστήρα</w:t>
            </w:r>
          </w:p>
        </w:tc>
        <w:tc>
          <w:tcPr>
            <w:tcW w:w="2900" w:type="dxa"/>
            <w:tcMar>
              <w:top w:w="60" w:type="dxa"/>
              <w:left w:w="100" w:type="dxa"/>
              <w:bottom w:w="60" w:type="dxa"/>
              <w:right w:w="100" w:type="dxa"/>
            </w:tcMar>
            <w:vAlign w:val="center"/>
          </w:tcPr>
          <w:p w14:paraId="41215F99" w14:textId="597C1281" w:rsidR="00020140" w:rsidRDefault="003C7DFB" w:rsidP="00535231">
            <w:pPr>
              <w:spacing w:after="0" w:line="240" w:lineRule="auto"/>
              <w:jc w:val="center"/>
              <w:rPr>
                <w:sz w:val="18"/>
                <w:szCs w:val="18"/>
              </w:rPr>
            </w:pPr>
            <w:r>
              <w:rPr>
                <w:sz w:val="18"/>
                <w:szCs w:val="18"/>
              </w:rPr>
              <w:t xml:space="preserve">Ο υψηλός λόγος </w:t>
            </w:r>
            <w:proofErr w:type="spellStart"/>
            <w:r>
              <w:rPr>
                <w:sz w:val="18"/>
                <w:szCs w:val="18"/>
              </w:rPr>
              <w:t>άντωσης</w:t>
            </w:r>
            <w:proofErr w:type="spellEnd"/>
            <w:r>
              <w:rPr>
                <w:sz w:val="18"/>
                <w:szCs w:val="18"/>
              </w:rPr>
              <w:t xml:space="preserve"> προς μέγεθος επιτρέπει μικρότερο φυσικό αποτύπωμα για συγκρίσιμη ώση [</w:t>
            </w:r>
            <w:r>
              <w:rPr>
                <w:sz w:val="18"/>
                <w:szCs w:val="18"/>
              </w:rPr>
              <w:fldChar w:fldCharType="begin"/>
            </w:r>
            <w:r>
              <w:rPr>
                <w:sz w:val="18"/>
                <w:szCs w:val="18"/>
              </w:rPr>
              <w:instrText xml:space="preserve"> REF _Ref_cit_41 \h \* MERGEFORMAT </w:instrText>
            </w:r>
            <w:r>
              <w:rPr>
                <w:sz w:val="18"/>
                <w:szCs w:val="18"/>
              </w:rPr>
            </w:r>
            <w:r>
              <w:rPr>
                <w:sz w:val="18"/>
                <w:szCs w:val="18"/>
              </w:rPr>
              <w:fldChar w:fldCharType="separate"/>
            </w:r>
            <w:r w:rsidR="00B0043E" w:rsidRPr="00B0043E">
              <w:rPr>
                <w:sz w:val="18"/>
                <w:szCs w:val="18"/>
              </w:rPr>
              <w:t>41</w:t>
            </w:r>
            <w:r>
              <w:rPr>
                <w:sz w:val="18"/>
                <w:szCs w:val="18"/>
              </w:rPr>
              <w:fldChar w:fldCharType="end"/>
            </w:r>
            <w:r>
              <w:rPr>
                <w:sz w:val="18"/>
                <w:szCs w:val="18"/>
              </w:rPr>
              <w:t>]</w:t>
            </w:r>
          </w:p>
        </w:tc>
        <w:tc>
          <w:tcPr>
            <w:tcW w:w="2940" w:type="dxa"/>
            <w:tcMar>
              <w:top w:w="60" w:type="dxa"/>
              <w:left w:w="100" w:type="dxa"/>
              <w:bottom w:w="60" w:type="dxa"/>
              <w:right w:w="100" w:type="dxa"/>
            </w:tcMar>
            <w:vAlign w:val="center"/>
          </w:tcPr>
          <w:p w14:paraId="385D531D" w14:textId="78E90448" w:rsidR="00020140" w:rsidRDefault="003C7DFB" w:rsidP="00535231">
            <w:pPr>
              <w:spacing w:after="0" w:line="240" w:lineRule="auto"/>
              <w:jc w:val="center"/>
              <w:rPr>
                <w:sz w:val="18"/>
                <w:szCs w:val="18"/>
              </w:rPr>
            </w:pPr>
            <w:r>
              <w:rPr>
                <w:sz w:val="18"/>
                <w:szCs w:val="18"/>
              </w:rPr>
              <w:t>Ενεργό σύστημα: ενσωματωμένοι ανεμιστήρες/ανοίγματα ενισχύουν την αεροδυναμική δύναμη πέρα από την ώση ενός παθητικού ιστίου, απαιτώντας βοηθητική ηλεκτρική ισχύ [</w:t>
            </w:r>
            <w:r>
              <w:rPr>
                <w:sz w:val="18"/>
                <w:szCs w:val="18"/>
              </w:rPr>
              <w:fldChar w:fldCharType="begin"/>
            </w:r>
            <w:r>
              <w:rPr>
                <w:sz w:val="18"/>
                <w:szCs w:val="18"/>
              </w:rPr>
              <w:instrText xml:space="preserve"> REF _Ref_cit_41 \h \* MERGEFORMAT </w:instrText>
            </w:r>
            <w:r>
              <w:rPr>
                <w:sz w:val="18"/>
                <w:szCs w:val="18"/>
              </w:rPr>
            </w:r>
            <w:r>
              <w:rPr>
                <w:sz w:val="18"/>
                <w:szCs w:val="18"/>
              </w:rPr>
              <w:fldChar w:fldCharType="separate"/>
            </w:r>
            <w:r w:rsidR="00B0043E" w:rsidRPr="00B0043E">
              <w:rPr>
                <w:sz w:val="18"/>
                <w:szCs w:val="18"/>
              </w:rPr>
              <w:t>41</w:t>
            </w:r>
            <w:r>
              <w:rPr>
                <w:sz w:val="18"/>
                <w:szCs w:val="18"/>
              </w:rPr>
              <w:fldChar w:fldCharType="end"/>
            </w:r>
            <w:r>
              <w:rPr>
                <w:sz w:val="18"/>
                <w:szCs w:val="18"/>
              </w:rPr>
              <w:t>], [</w:t>
            </w:r>
            <w:r>
              <w:rPr>
                <w:sz w:val="18"/>
                <w:szCs w:val="18"/>
              </w:rPr>
              <w:fldChar w:fldCharType="begin"/>
            </w:r>
            <w:r>
              <w:rPr>
                <w:sz w:val="18"/>
                <w:szCs w:val="18"/>
              </w:rPr>
              <w:instrText xml:space="preserve"> REF _Ref_cit_42 \h \* MERGEFORMAT </w:instrText>
            </w:r>
            <w:r>
              <w:rPr>
                <w:sz w:val="18"/>
                <w:szCs w:val="18"/>
              </w:rPr>
            </w:r>
            <w:r>
              <w:rPr>
                <w:sz w:val="18"/>
                <w:szCs w:val="18"/>
              </w:rPr>
              <w:fldChar w:fldCharType="separate"/>
            </w:r>
            <w:r w:rsidR="00B0043E" w:rsidRPr="00B0043E">
              <w:rPr>
                <w:sz w:val="18"/>
                <w:szCs w:val="18"/>
              </w:rPr>
              <w:t>42</w:t>
            </w:r>
            <w:r>
              <w:rPr>
                <w:sz w:val="18"/>
                <w:szCs w:val="18"/>
              </w:rPr>
              <w:fldChar w:fldCharType="end"/>
            </w:r>
            <w:r>
              <w:rPr>
                <w:sz w:val="18"/>
                <w:szCs w:val="18"/>
              </w:rPr>
              <w:t>]</w:t>
            </w:r>
          </w:p>
        </w:tc>
      </w:tr>
      <w:tr w:rsidR="00020140" w14:paraId="7C366EE9" w14:textId="77777777">
        <w:tc>
          <w:tcPr>
            <w:tcW w:w="1500" w:type="dxa"/>
            <w:tcMar>
              <w:top w:w="60" w:type="dxa"/>
              <w:left w:w="100" w:type="dxa"/>
              <w:bottom w:w="60" w:type="dxa"/>
              <w:right w:w="100" w:type="dxa"/>
            </w:tcMar>
            <w:vAlign w:val="center"/>
          </w:tcPr>
          <w:p w14:paraId="1181B2FE" w14:textId="77777777" w:rsidR="00020140" w:rsidRDefault="003C7DFB" w:rsidP="00535231">
            <w:pPr>
              <w:spacing w:after="0" w:line="240" w:lineRule="auto"/>
              <w:jc w:val="center"/>
              <w:rPr>
                <w:sz w:val="18"/>
                <w:szCs w:val="18"/>
              </w:rPr>
            </w:pPr>
            <w:r>
              <w:rPr>
                <w:sz w:val="18"/>
                <w:szCs w:val="18"/>
              </w:rPr>
              <w:t>Άκαμπτο ιστίο</w:t>
            </w:r>
          </w:p>
        </w:tc>
        <w:tc>
          <w:tcPr>
            <w:tcW w:w="1300" w:type="dxa"/>
            <w:tcMar>
              <w:top w:w="60" w:type="dxa"/>
              <w:left w:w="100" w:type="dxa"/>
              <w:bottom w:w="60" w:type="dxa"/>
              <w:right w:w="100" w:type="dxa"/>
            </w:tcMar>
            <w:vAlign w:val="center"/>
          </w:tcPr>
          <w:p w14:paraId="37BC674E" w14:textId="77777777" w:rsidR="00020140" w:rsidRDefault="003C7DFB" w:rsidP="00535231">
            <w:pPr>
              <w:spacing w:after="0" w:line="240" w:lineRule="auto"/>
              <w:jc w:val="center"/>
              <w:rPr>
                <w:sz w:val="18"/>
                <w:szCs w:val="18"/>
              </w:rPr>
            </w:pPr>
            <w:r>
              <w:rPr>
                <w:sz w:val="18"/>
                <w:szCs w:val="18"/>
              </w:rPr>
              <w:t>Παθητικό</w:t>
            </w:r>
          </w:p>
        </w:tc>
        <w:tc>
          <w:tcPr>
            <w:tcW w:w="2900" w:type="dxa"/>
            <w:tcMar>
              <w:top w:w="60" w:type="dxa"/>
              <w:left w:w="100" w:type="dxa"/>
              <w:bottom w:w="60" w:type="dxa"/>
              <w:right w:w="100" w:type="dxa"/>
            </w:tcMar>
            <w:vAlign w:val="center"/>
          </w:tcPr>
          <w:p w14:paraId="51D3FB8B" w14:textId="4C86A37C" w:rsidR="00020140" w:rsidRDefault="003C7DFB" w:rsidP="00535231">
            <w:pPr>
              <w:spacing w:after="0" w:line="240" w:lineRule="auto"/>
              <w:jc w:val="center"/>
              <w:rPr>
                <w:sz w:val="18"/>
                <w:szCs w:val="18"/>
              </w:rPr>
            </w:pPr>
            <w:r>
              <w:rPr>
                <w:sz w:val="18"/>
                <w:szCs w:val="18"/>
              </w:rPr>
              <w:t>5.5% (μόνο WAPS, αμετάβλητη γάστρα) έως ~12–20% (από κοινού βελτιστοποίηση γάστρας/μηχανής/έλικας) στη μελέτη περίπτωσης [</w:t>
            </w:r>
            <w:r>
              <w:rPr>
                <w:sz w:val="18"/>
                <w:szCs w:val="18"/>
              </w:rPr>
              <w:fldChar w:fldCharType="begin"/>
            </w:r>
            <w:r>
              <w:rPr>
                <w:sz w:val="18"/>
                <w:szCs w:val="18"/>
              </w:rPr>
              <w:instrText xml:space="preserve"> REF _Ref_cit_45 \h \* MERGEFORMAT </w:instrText>
            </w:r>
            <w:r>
              <w:rPr>
                <w:sz w:val="18"/>
                <w:szCs w:val="18"/>
              </w:rPr>
            </w:r>
            <w:r>
              <w:rPr>
                <w:sz w:val="18"/>
                <w:szCs w:val="18"/>
              </w:rPr>
              <w:fldChar w:fldCharType="separate"/>
            </w:r>
            <w:r w:rsidR="00B0043E" w:rsidRPr="00B0043E">
              <w:rPr>
                <w:sz w:val="18"/>
                <w:szCs w:val="18"/>
              </w:rPr>
              <w:t>45</w:t>
            </w:r>
            <w:r>
              <w:rPr>
                <w:sz w:val="18"/>
                <w:szCs w:val="18"/>
              </w:rPr>
              <w:fldChar w:fldCharType="end"/>
            </w:r>
            <w:r>
              <w:rPr>
                <w:sz w:val="18"/>
                <w:szCs w:val="18"/>
              </w:rPr>
              <w:t>]</w:t>
            </w:r>
          </w:p>
        </w:tc>
        <w:tc>
          <w:tcPr>
            <w:tcW w:w="2940" w:type="dxa"/>
            <w:tcMar>
              <w:top w:w="60" w:type="dxa"/>
              <w:left w:w="100" w:type="dxa"/>
              <w:bottom w:w="60" w:type="dxa"/>
              <w:right w:w="100" w:type="dxa"/>
            </w:tcMar>
            <w:vAlign w:val="center"/>
          </w:tcPr>
          <w:p w14:paraId="4C65E607" w14:textId="6BABD60E" w:rsidR="00020140" w:rsidRDefault="003C7DFB" w:rsidP="00535231">
            <w:pPr>
              <w:spacing w:after="0" w:line="240" w:lineRule="auto"/>
              <w:jc w:val="center"/>
              <w:rPr>
                <w:sz w:val="18"/>
                <w:szCs w:val="18"/>
              </w:rPr>
            </w:pPr>
            <w:r>
              <w:rPr>
                <w:sz w:val="18"/>
                <w:szCs w:val="18"/>
              </w:rPr>
              <w:t xml:space="preserve">CAPEX ~+18–19% έναντι του πλοίου αναφοράς χωρίς ιστία· </w:t>
            </w:r>
            <w:proofErr w:type="spellStart"/>
            <w:r>
              <w:rPr>
                <w:sz w:val="18"/>
                <w:szCs w:val="18"/>
              </w:rPr>
              <w:t>δNPV</w:t>
            </w:r>
            <w:proofErr w:type="spellEnd"/>
            <w:r>
              <w:rPr>
                <w:sz w:val="18"/>
                <w:szCs w:val="18"/>
              </w:rPr>
              <w:t xml:space="preserve"> από −1</w:t>
            </w:r>
            <w:r w:rsidR="00631188" w:rsidRPr="00631188">
              <w:rPr>
                <w:sz w:val="18"/>
                <w:szCs w:val="18"/>
              </w:rPr>
              <w:t>.</w:t>
            </w:r>
            <w:r>
              <w:rPr>
                <w:sz w:val="18"/>
                <w:szCs w:val="18"/>
              </w:rPr>
              <w:t>3M</w:t>
            </w:r>
            <w:r w:rsidR="00631188" w:rsidRPr="00631188">
              <w:rPr>
                <w:sz w:val="18"/>
                <w:szCs w:val="18"/>
              </w:rPr>
              <w:t xml:space="preserve"> </w:t>
            </w:r>
            <w:r w:rsidR="00631188">
              <w:rPr>
                <w:sz w:val="18"/>
                <w:szCs w:val="18"/>
              </w:rPr>
              <w:t>USD</w:t>
            </w:r>
            <w:r>
              <w:rPr>
                <w:sz w:val="18"/>
                <w:szCs w:val="18"/>
              </w:rPr>
              <w:t xml:space="preserve"> έως +10.3M</w:t>
            </w:r>
            <w:r w:rsidR="00C4446F" w:rsidRPr="00C4446F">
              <w:rPr>
                <w:sz w:val="18"/>
                <w:szCs w:val="18"/>
              </w:rPr>
              <w:t xml:space="preserve"> </w:t>
            </w:r>
            <w:r w:rsidR="00C4446F">
              <w:rPr>
                <w:sz w:val="18"/>
                <w:szCs w:val="18"/>
              </w:rPr>
              <w:t xml:space="preserve">USD </w:t>
            </w:r>
            <w:r>
              <w:rPr>
                <w:sz w:val="18"/>
                <w:szCs w:val="18"/>
              </w:rPr>
              <w:t>· παθητικό σύστημα, χωρίς OPEX βοηθητικής ισχύος [</w:t>
            </w:r>
            <w:r>
              <w:rPr>
                <w:sz w:val="18"/>
                <w:szCs w:val="18"/>
              </w:rPr>
              <w:fldChar w:fldCharType="begin"/>
            </w:r>
            <w:r>
              <w:rPr>
                <w:sz w:val="18"/>
                <w:szCs w:val="18"/>
              </w:rPr>
              <w:instrText xml:space="preserve"> REF _Ref_cit_43 \h \* MERGEFORMAT </w:instrText>
            </w:r>
            <w:r>
              <w:rPr>
                <w:sz w:val="18"/>
                <w:szCs w:val="18"/>
              </w:rPr>
            </w:r>
            <w:r>
              <w:rPr>
                <w:sz w:val="18"/>
                <w:szCs w:val="18"/>
              </w:rPr>
              <w:fldChar w:fldCharType="separate"/>
            </w:r>
            <w:r w:rsidR="00B0043E" w:rsidRPr="00B0043E">
              <w:rPr>
                <w:sz w:val="18"/>
                <w:szCs w:val="18"/>
              </w:rPr>
              <w:t>43</w:t>
            </w:r>
            <w:r>
              <w:rPr>
                <w:sz w:val="18"/>
                <w:szCs w:val="18"/>
              </w:rPr>
              <w:fldChar w:fldCharType="end"/>
            </w:r>
            <w:r>
              <w:rPr>
                <w:sz w:val="18"/>
                <w:szCs w:val="18"/>
              </w:rPr>
              <w:t>], [</w:t>
            </w:r>
            <w:r>
              <w:rPr>
                <w:sz w:val="18"/>
                <w:szCs w:val="18"/>
              </w:rPr>
              <w:fldChar w:fldCharType="begin"/>
            </w:r>
            <w:r>
              <w:rPr>
                <w:sz w:val="18"/>
                <w:szCs w:val="18"/>
              </w:rPr>
              <w:instrText xml:space="preserve"> REF _Ref_cit_45 \h \* MERGEFORMAT </w:instrText>
            </w:r>
            <w:r>
              <w:rPr>
                <w:sz w:val="18"/>
                <w:szCs w:val="18"/>
              </w:rPr>
            </w:r>
            <w:r>
              <w:rPr>
                <w:sz w:val="18"/>
                <w:szCs w:val="18"/>
              </w:rPr>
              <w:fldChar w:fldCharType="separate"/>
            </w:r>
            <w:r w:rsidR="00B0043E" w:rsidRPr="00B0043E">
              <w:rPr>
                <w:sz w:val="18"/>
                <w:szCs w:val="18"/>
              </w:rPr>
              <w:t>45</w:t>
            </w:r>
            <w:r>
              <w:rPr>
                <w:sz w:val="18"/>
                <w:szCs w:val="18"/>
              </w:rPr>
              <w:fldChar w:fldCharType="end"/>
            </w:r>
            <w:r>
              <w:rPr>
                <w:sz w:val="18"/>
                <w:szCs w:val="18"/>
              </w:rPr>
              <w:t>]</w:t>
            </w:r>
          </w:p>
        </w:tc>
      </w:tr>
      <w:tr w:rsidR="00020140" w14:paraId="33FCE7C4" w14:textId="77777777">
        <w:tc>
          <w:tcPr>
            <w:tcW w:w="1500" w:type="dxa"/>
            <w:tcMar>
              <w:top w:w="60" w:type="dxa"/>
              <w:left w:w="100" w:type="dxa"/>
              <w:bottom w:w="60" w:type="dxa"/>
              <w:right w:w="100" w:type="dxa"/>
            </w:tcMar>
            <w:vAlign w:val="center"/>
          </w:tcPr>
          <w:p w14:paraId="4F49CEB7" w14:textId="77777777" w:rsidR="00020140" w:rsidRDefault="003C7DFB" w:rsidP="00535231">
            <w:pPr>
              <w:spacing w:after="0" w:line="240" w:lineRule="auto"/>
              <w:jc w:val="center"/>
              <w:rPr>
                <w:sz w:val="18"/>
                <w:szCs w:val="18"/>
              </w:rPr>
            </w:pPr>
            <w:r>
              <w:rPr>
                <w:sz w:val="18"/>
                <w:szCs w:val="18"/>
              </w:rPr>
              <w:t>Χαρταετός</w:t>
            </w:r>
          </w:p>
        </w:tc>
        <w:tc>
          <w:tcPr>
            <w:tcW w:w="1300" w:type="dxa"/>
            <w:tcMar>
              <w:top w:w="60" w:type="dxa"/>
              <w:left w:w="100" w:type="dxa"/>
              <w:bottom w:w="60" w:type="dxa"/>
              <w:right w:w="100" w:type="dxa"/>
            </w:tcMar>
            <w:vAlign w:val="center"/>
          </w:tcPr>
          <w:p w14:paraId="5D8C15E0" w14:textId="77777777" w:rsidR="00020140" w:rsidRDefault="003C7DFB" w:rsidP="00535231">
            <w:pPr>
              <w:spacing w:after="0" w:line="240" w:lineRule="auto"/>
              <w:jc w:val="center"/>
              <w:rPr>
                <w:sz w:val="18"/>
                <w:szCs w:val="18"/>
              </w:rPr>
            </w:pPr>
            <w:r>
              <w:rPr>
                <w:sz w:val="18"/>
                <w:szCs w:val="18"/>
              </w:rPr>
              <w:t>Παθητικό – δυναμική πτήση</w:t>
            </w:r>
          </w:p>
        </w:tc>
        <w:tc>
          <w:tcPr>
            <w:tcW w:w="2900" w:type="dxa"/>
            <w:tcMar>
              <w:top w:w="60" w:type="dxa"/>
              <w:left w:w="100" w:type="dxa"/>
              <w:bottom w:w="60" w:type="dxa"/>
              <w:right w:w="100" w:type="dxa"/>
            </w:tcMar>
            <w:vAlign w:val="center"/>
          </w:tcPr>
          <w:p w14:paraId="62301295" w14:textId="0E66A848" w:rsidR="00020140" w:rsidRDefault="003C7DFB" w:rsidP="00535231">
            <w:pPr>
              <w:spacing w:after="0" w:line="240" w:lineRule="auto"/>
              <w:jc w:val="center"/>
              <w:rPr>
                <w:sz w:val="18"/>
                <w:szCs w:val="18"/>
              </w:rPr>
            </w:pPr>
            <w:r>
              <w:rPr>
                <w:sz w:val="18"/>
                <w:szCs w:val="18"/>
              </w:rPr>
              <w:t>Αναφερόμενη ώση ισοδύναμη με ~2 MW ισχύος της κύριας μηχανής υπό ευνοϊκό άνεμο [</w:t>
            </w:r>
            <w:r>
              <w:rPr>
                <w:sz w:val="18"/>
                <w:szCs w:val="18"/>
              </w:rPr>
              <w:fldChar w:fldCharType="begin"/>
            </w:r>
            <w:r>
              <w:rPr>
                <w:sz w:val="18"/>
                <w:szCs w:val="18"/>
              </w:rPr>
              <w:instrText xml:space="preserve"> REF _Ref_cit_44 \h \* MERGEFORMAT </w:instrText>
            </w:r>
            <w:r>
              <w:rPr>
                <w:sz w:val="18"/>
                <w:szCs w:val="18"/>
              </w:rPr>
            </w:r>
            <w:r>
              <w:rPr>
                <w:sz w:val="18"/>
                <w:szCs w:val="18"/>
              </w:rPr>
              <w:fldChar w:fldCharType="separate"/>
            </w:r>
            <w:r w:rsidR="00B0043E" w:rsidRPr="00B0043E">
              <w:rPr>
                <w:sz w:val="18"/>
                <w:szCs w:val="18"/>
              </w:rPr>
              <w:t>44</w:t>
            </w:r>
            <w:r>
              <w:rPr>
                <w:sz w:val="18"/>
                <w:szCs w:val="18"/>
              </w:rPr>
              <w:fldChar w:fldCharType="end"/>
            </w:r>
            <w:r>
              <w:rPr>
                <w:sz w:val="18"/>
                <w:szCs w:val="18"/>
              </w:rPr>
              <w:t>]</w:t>
            </w:r>
          </w:p>
        </w:tc>
        <w:tc>
          <w:tcPr>
            <w:tcW w:w="2940" w:type="dxa"/>
            <w:tcMar>
              <w:top w:w="60" w:type="dxa"/>
              <w:left w:w="100" w:type="dxa"/>
              <w:bottom w:w="60" w:type="dxa"/>
              <w:right w:w="100" w:type="dxa"/>
            </w:tcMar>
            <w:vAlign w:val="center"/>
          </w:tcPr>
          <w:p w14:paraId="6945C0A8" w14:textId="22874B66" w:rsidR="00020140" w:rsidRDefault="003C7DFB" w:rsidP="00535231">
            <w:pPr>
              <w:spacing w:after="0" w:line="240" w:lineRule="auto"/>
              <w:jc w:val="center"/>
              <w:rPr>
                <w:sz w:val="18"/>
                <w:szCs w:val="18"/>
              </w:rPr>
            </w:pPr>
            <w:r>
              <w:rPr>
                <w:sz w:val="18"/>
                <w:szCs w:val="18"/>
              </w:rPr>
              <w:t>Σε μεγάλο βαθμό αυτοματοποιημένη απελευθέρωση και ανάκτηση, με ελάχιστη παρέμβαση του πληρώματος [</w:t>
            </w:r>
            <w:r>
              <w:rPr>
                <w:sz w:val="18"/>
                <w:szCs w:val="18"/>
              </w:rPr>
              <w:fldChar w:fldCharType="begin"/>
            </w:r>
            <w:r>
              <w:rPr>
                <w:sz w:val="18"/>
                <w:szCs w:val="18"/>
              </w:rPr>
              <w:instrText xml:space="preserve"> REF _Ref_cit_44 \h \* MERGEFORMAT </w:instrText>
            </w:r>
            <w:r>
              <w:rPr>
                <w:sz w:val="18"/>
                <w:szCs w:val="18"/>
              </w:rPr>
            </w:r>
            <w:r>
              <w:rPr>
                <w:sz w:val="18"/>
                <w:szCs w:val="18"/>
              </w:rPr>
              <w:fldChar w:fldCharType="separate"/>
            </w:r>
            <w:r w:rsidR="00B0043E" w:rsidRPr="00B0043E">
              <w:rPr>
                <w:sz w:val="18"/>
                <w:szCs w:val="18"/>
              </w:rPr>
              <w:t>44</w:t>
            </w:r>
            <w:r>
              <w:rPr>
                <w:sz w:val="18"/>
                <w:szCs w:val="18"/>
              </w:rPr>
              <w:fldChar w:fldCharType="end"/>
            </w:r>
            <w:r>
              <w:rPr>
                <w:sz w:val="18"/>
                <w:szCs w:val="18"/>
              </w:rPr>
              <w:t>]</w:t>
            </w:r>
          </w:p>
        </w:tc>
      </w:tr>
    </w:tbl>
    <w:p w14:paraId="085411EA" w14:textId="77777777" w:rsidR="00020140" w:rsidRDefault="00020140">
      <w:pPr>
        <w:spacing w:line="360" w:lineRule="auto"/>
        <w:jc w:val="both"/>
      </w:pPr>
    </w:p>
    <w:p w14:paraId="1C3FEAF8" w14:textId="2E7A3B12" w:rsidR="00020140" w:rsidRDefault="003C7DFB">
      <w:pPr>
        <w:spacing w:line="360" w:lineRule="auto"/>
        <w:ind w:firstLine="576"/>
        <w:jc w:val="both"/>
      </w:pPr>
      <w:r>
        <w:t>Δύο ακόμη σημεία από την ευρύτερη βιβλιογραφία που εξετάστηκε στην παρούσα εργασία είναι σημαντικά για την ερμηνεία του πίνακα. Πρώτον, ο αριθμός των μονάδων WAPS που εγκαθίστανται σε ένα πλοίο αποτελεί από μόνος του οικονομικό και όχι αμιγώς αεροδυναμικό συμβιβασμό: οι πρόσθετες μονάδες αυξάνουν τη θεωρητική μέγιστη ώση, αλλά αυξάνουν επίσης το κεφαλαιουχικό κόστος, τις απαιτήσεις σε χώρο καταστρώματος και την πολυπλοκότητα του συστήματος ελέγχου, ενώ το οριακό όφελος εξοικονόμησης καυσίμου κάθε πρόσθετης μονάδας μειώνεται πέρα από μια ορισμένη πυκνότητα λόγω αεροδυναμικής παρεμβολής [</w:t>
      </w:r>
      <w:r>
        <w:fldChar w:fldCharType="begin"/>
      </w:r>
      <w:r>
        <w:instrText xml:space="preserve"> REF _Ref_cit_28 \h \* MERGEFORMAT </w:instrText>
      </w:r>
      <w:r>
        <w:fldChar w:fldCharType="separate"/>
      </w:r>
      <w:r w:rsidR="00B0043E" w:rsidRPr="00B0043E">
        <w:t>28</w:t>
      </w:r>
      <w:r>
        <w:fldChar w:fldCharType="end"/>
      </w:r>
      <w:r>
        <w:t>]. Δεύτερον, αναφέρεται ότι το σχετικό όφελος κάθε τεχνολογίας WAPS μειώνεται σε υψηλότερες υπηρεσιακές ταχύτητες του πλοίου, καθώς η αυξανόμενη συνιστώσα φαινόμενου αντίθετου ανέμου και η αυξανόμενη αντίσταση της γάστρας περιορίζουν τη συμβολή της αεροδυναμικής ώσης [</w:t>
      </w:r>
      <w:r>
        <w:fldChar w:fldCharType="begin"/>
      </w:r>
      <w:r>
        <w:instrText xml:space="preserve"> REF _Ref_cit_7 \h \* MERGEFORMAT </w:instrText>
      </w:r>
      <w:r>
        <w:fldChar w:fldCharType="separate"/>
      </w:r>
      <w:r w:rsidR="00B0043E" w:rsidRPr="00B0043E">
        <w:t>7</w:t>
      </w:r>
      <w:r>
        <w:fldChar w:fldCharType="end"/>
      </w:r>
      <w:r>
        <w:t>], [</w:t>
      </w:r>
      <w:r>
        <w:fldChar w:fldCharType="begin"/>
      </w:r>
      <w:r>
        <w:instrText xml:space="preserve"> REF _Ref_cit_28 \h \* MERGEFORMAT </w:instrText>
      </w:r>
      <w:r>
        <w:fldChar w:fldCharType="separate"/>
      </w:r>
      <w:r w:rsidR="00B0043E" w:rsidRPr="00B0043E">
        <w:t>28</w:t>
      </w:r>
      <w:r>
        <w:fldChar w:fldCharType="end"/>
      </w:r>
      <w:r>
        <w:t>]· αυτό συνάδει σε γενικές γραμμές με την ταχύτητα λειτουργίας των 12 κόμβων που επιλέχθηκε για τη μελέτη περίπτωσης της [</w:t>
      </w:r>
      <w:r>
        <w:fldChar w:fldCharType="begin"/>
      </w:r>
      <w:r>
        <w:instrText xml:space="preserve"> REF _Ref_cit_45 \h \* MERGEFORMAT </w:instrText>
      </w:r>
      <w:r>
        <w:fldChar w:fldCharType="separate"/>
      </w:r>
      <w:r w:rsidR="00B0043E" w:rsidRPr="00B0043E">
        <w:t>45</w:t>
      </w:r>
      <w:r>
        <w:fldChar w:fldCharType="end"/>
      </w:r>
      <w:r>
        <w:t>], η οποία βρίσκεται προς το κατώτερο άκρο των τυπικών υπηρεσιακών ταχυτήτων των φορτηγών πλοίων χύδην ξηρού φορτίου.</w:t>
      </w:r>
    </w:p>
    <w:p w14:paraId="5B25DEF8" w14:textId="77777777" w:rsidR="00020140" w:rsidRDefault="003C7DFB">
      <w:pPr>
        <w:pStyle w:val="20"/>
      </w:pPr>
      <w:bookmarkStart w:id="134" w:name="_Toc243355305"/>
      <w:r>
        <w:lastRenderedPageBreak/>
        <w:t>Σύνοψη των κύριων ευρημάτων της βιβλιογραφίας</w:t>
      </w:r>
      <w:bookmarkEnd w:id="134"/>
    </w:p>
    <w:p w14:paraId="56E7B6BF" w14:textId="44317901" w:rsidR="00020140" w:rsidRDefault="003C7DFB">
      <w:pPr>
        <w:spacing w:line="360" w:lineRule="auto"/>
        <w:ind w:firstLine="576"/>
        <w:jc w:val="both"/>
      </w:pPr>
      <w:r>
        <w:t>Τα τεχνοοικονομικά στοιχεία που συγκεντρώθηκαν στο παρόν κεφάλαιο δείχνουν ότι η εγκατάσταση WAPS συνεπάγεται μετρήσιμο, αλλά εν μέρει ανακτήσιμο, επιπλέον κόστος CAPEX —περίπου 18–19% για διάταξη τεσσάρων άκαμπτων ιστίων σε φορτηγό πλοίο χύδην ξηρού φορτίου 77</w:t>
      </w:r>
      <w:r w:rsidR="00653BF4">
        <w:t>.</w:t>
      </w:r>
      <w:r>
        <w:t>721 DWT, το οποίο μπορεί να περιοριστεί σε περίπου 7% όταν το υπόλοιπο πλοίο βελτιστοποιείται από κοινού γύρω από τα ιστία [</w:t>
      </w:r>
      <w:r>
        <w:fldChar w:fldCharType="begin"/>
      </w:r>
      <w:r>
        <w:instrText xml:space="preserve"> REF _Ref_cit_45 \h \* MERGEFORMAT </w:instrText>
      </w:r>
      <w:r>
        <w:fldChar w:fldCharType="separate"/>
      </w:r>
      <w:r w:rsidR="00B0043E" w:rsidRPr="00B0043E">
        <w:t>45</w:t>
      </w:r>
      <w:r>
        <w:fldChar w:fldCharType="end"/>
      </w:r>
      <w:r>
        <w:t>]—, ενώ τα στοιχεία εξοικονόμησης καυσίμου και ενέργειας καλύπτουν ευρύ φάσμα, ανάλογα με την τεχνολογία, τη διαδρομή και το αν ο σχεδιασμός του πλοίου βελτιστοποιείται από κοινού με τα WAPS: από 5</w:t>
      </w:r>
      <w:r w:rsidR="00D22729">
        <w:t>,</w:t>
      </w:r>
      <w:r>
        <w:t>5% για τα ιστία μόνα τους σε αμετάβλητη γάστρα έως 25% ή περισσότερο για βελτιστοποιημένες εγκαταστάσεις ιστίων-</w:t>
      </w:r>
      <w:proofErr w:type="spellStart"/>
      <w:r>
        <w:t>ροτόρων</w:t>
      </w:r>
      <w:proofErr w:type="spellEnd"/>
      <w:r>
        <w:t xml:space="preserve"> υπό ευνοϊκές συνθήκες [</w:t>
      </w:r>
      <w:r>
        <w:fldChar w:fldCharType="begin"/>
      </w:r>
      <w:r>
        <w:instrText xml:space="preserve"> REF _Ref_cit_39 \h \* MERGEFORMAT </w:instrText>
      </w:r>
      <w:r>
        <w:fldChar w:fldCharType="separate"/>
      </w:r>
      <w:r w:rsidR="00B0043E" w:rsidRPr="00B0043E">
        <w:t>39</w:t>
      </w:r>
      <w:r>
        <w:fldChar w:fldCharType="end"/>
      </w:r>
      <w:r>
        <w:t>], [</w:t>
      </w:r>
      <w:r>
        <w:fldChar w:fldCharType="begin"/>
      </w:r>
      <w:r>
        <w:instrText xml:space="preserve"> REF _Ref_cit_45 \h \* MERGEFORMAT </w:instrText>
      </w:r>
      <w:r>
        <w:fldChar w:fldCharType="separate"/>
      </w:r>
      <w:r w:rsidR="00B0043E" w:rsidRPr="00B0043E">
        <w:t>45</w:t>
      </w:r>
      <w:r>
        <w:fldChar w:fldCharType="end"/>
      </w:r>
      <w:r>
        <w:t>], και έως 50% της συνολικής ενέργειας πρόωσης όταν ο άνεμος χρησιμοποιείται ως κύρια και όχι ως βοηθητική πηγή [</w:t>
      </w:r>
      <w:r>
        <w:fldChar w:fldCharType="begin"/>
      </w:r>
      <w:r>
        <w:instrText xml:space="preserve"> REF _Ref_cit_34 \h \* MERGEFORMAT </w:instrText>
      </w:r>
      <w:r>
        <w:fldChar w:fldCharType="separate"/>
      </w:r>
      <w:r w:rsidR="00B0043E" w:rsidRPr="00B0043E">
        <w:t>34</w:t>
      </w:r>
      <w:r>
        <w:fldChar w:fldCharType="end"/>
      </w:r>
      <w:r>
        <w:t>].</w:t>
      </w:r>
    </w:p>
    <w:p w14:paraId="125A9162" w14:textId="60707E82" w:rsidR="00020140" w:rsidRDefault="003C7DFB">
      <w:pPr>
        <w:spacing w:line="360" w:lineRule="auto"/>
        <w:ind w:firstLine="576"/>
        <w:jc w:val="both"/>
      </w:pPr>
      <w:r>
        <w:t xml:space="preserve">Από τις τρεις τυπικές μεθόδους αξιολόγησης επενδύσεων που εξετάστηκαν, η NPV —υπολογιζόμενη ως </w:t>
      </w:r>
      <w:proofErr w:type="spellStart"/>
      <w:r>
        <w:t>δNPV</w:t>
      </w:r>
      <w:proofErr w:type="spellEnd"/>
      <w:r>
        <w:t xml:space="preserve"> σε σχέση με ένα πλοίο αναφοράς, με προεξοφλητικό επιτόκιο 10% και ορίζοντα 20 ετών— είναι ο δείκτης που </w:t>
      </w:r>
      <w:proofErr w:type="spellStart"/>
      <w:r>
        <w:t>ποσοτικοποιείται</w:t>
      </w:r>
      <w:proofErr w:type="spellEnd"/>
      <w:r>
        <w:t xml:space="preserve"> στη βιβλιογραφία που εξετάστηκε [</w:t>
      </w:r>
      <w:r>
        <w:fldChar w:fldCharType="begin"/>
      </w:r>
      <w:r>
        <w:instrText xml:space="preserve"> REF _Ref_cit_45 \h \* MERGEFORMAT </w:instrText>
      </w:r>
      <w:r>
        <w:fldChar w:fldCharType="separate"/>
      </w:r>
      <w:r w:rsidR="00B0043E" w:rsidRPr="00B0043E">
        <w:t>45</w:t>
      </w:r>
      <w:r>
        <w:fldChar w:fldCharType="end"/>
      </w:r>
      <w:r>
        <w:t>]. Ένα επαναλαμβανόμενο εύρημα είναι ότι κανένας σχεδιασμός ή καμία τεχνολογία δεν υπερτερεί ταυτόχρονα ως προς τις CAPEX, τις εκπομπές CO₂ και την NPV, και ότι οι απαιτήσεις κανονιστικής συμμόρφωσης —και όχι μόνο η τιμολόγηση του άνθρακα— μπορούν να υπερισχύσουν μιας κατά τα λοιπά ευνοϊκής αυτοτελούς NPV, όπως δείχνει ο σχεδιασμός αναφοράς χωρίς ιστία της [</w:t>
      </w:r>
      <w:r>
        <w:fldChar w:fldCharType="begin"/>
      </w:r>
      <w:r>
        <w:instrText xml:space="preserve"> REF _Ref_cit_45 \h \* MERGEFORMAT </w:instrText>
      </w:r>
      <w:r>
        <w:fldChar w:fldCharType="separate"/>
      </w:r>
      <w:r w:rsidR="00B0043E" w:rsidRPr="00B0043E">
        <w:t>45</w:t>
      </w:r>
      <w:r>
        <w:fldChar w:fldCharType="end"/>
      </w:r>
      <w:r>
        <w:t xml:space="preserve">], ο οποίος υπερτερεί ως προς την NPV αλλά δεν ικανοποιεί τη </w:t>
      </w:r>
      <w:r w:rsidR="002E3C0A">
        <w:t>3</w:t>
      </w:r>
      <w:r w:rsidR="002E3C0A" w:rsidRPr="002E3C0A">
        <w:rPr>
          <w:vertAlign w:val="superscript"/>
        </w:rPr>
        <w:t>η</w:t>
      </w:r>
      <w:r w:rsidR="002E3C0A">
        <w:t xml:space="preserve">  Φάση</w:t>
      </w:r>
      <w:r>
        <w:t xml:space="preserve"> του EEDI. Τα οικονομικά των WAPS εκτίθενται επιπλέον στη μεταβλητότητα των τιμών ναυτιλιακών καυσίμων και των ναύλων, η οποία έχει ήδη τεκμηριωθεί για τον ναυτιλιακό τομέα γενικά στην Ενότητα 1.1.7 [</w:t>
      </w:r>
      <w:r>
        <w:fldChar w:fldCharType="begin"/>
      </w:r>
      <w:r>
        <w:instrText xml:space="preserve"> REF _Ref_cit_30 \h \* MERGEFORMAT </w:instrText>
      </w:r>
      <w:r>
        <w:fldChar w:fldCharType="separate"/>
      </w:r>
      <w:r w:rsidR="00B0043E" w:rsidRPr="00B0043E">
        <w:t>30</w:t>
      </w:r>
      <w:r>
        <w:fldChar w:fldCharType="end"/>
      </w:r>
      <w:r>
        <w:t>]–[</w:t>
      </w:r>
      <w:r>
        <w:fldChar w:fldCharType="begin"/>
      </w:r>
      <w:r>
        <w:instrText xml:space="preserve"> REF _Ref_cit_33 \h \* MERGEFORMAT </w:instrText>
      </w:r>
      <w:r>
        <w:fldChar w:fldCharType="separate"/>
      </w:r>
      <w:r w:rsidR="00B0043E" w:rsidRPr="00B0043E">
        <w:t>33</w:t>
      </w:r>
      <w:r>
        <w:fldChar w:fldCharType="end"/>
      </w:r>
      <w:r>
        <w:t>].</w:t>
      </w:r>
    </w:p>
    <w:p w14:paraId="378827D5" w14:textId="03A08C32" w:rsidR="00020140" w:rsidRDefault="003C7DFB">
      <w:pPr>
        <w:spacing w:line="360" w:lineRule="auto"/>
        <w:ind w:firstLine="576"/>
        <w:jc w:val="both"/>
      </w:pPr>
      <w:r>
        <w:t>Τέλος, το εύρος των διαθέσιμων τεχνοοικονομικών στοιχείων διαφέρει ανά τεχνολογία: τα ιστία-</w:t>
      </w:r>
      <w:proofErr w:type="spellStart"/>
      <w:r>
        <w:t>ρότορες</w:t>
      </w:r>
      <w:proofErr w:type="spellEnd"/>
      <w:r>
        <w:t xml:space="preserve"> διαθέτουν την πιο εδραιωμένη εξειδικευμένη οικονομική βιβλιογραφία [</w:t>
      </w:r>
      <w:r>
        <w:fldChar w:fldCharType="begin"/>
      </w:r>
      <w:r>
        <w:instrText xml:space="preserve"> REF _Ref_cit_40 \h \* MERGEFORMAT </w:instrText>
      </w:r>
      <w:r>
        <w:fldChar w:fldCharType="separate"/>
      </w:r>
      <w:r w:rsidR="00B0043E" w:rsidRPr="00B0043E">
        <w:t>40</w:t>
      </w:r>
      <w:r>
        <w:fldChar w:fldCharType="end"/>
      </w:r>
      <w:r>
        <w:t>], ενώ τα άκαμπτα ιστία διαθέτουν το πιο λεπτομερές ποσοτικό μοντέλο κόστους και κερδοφορίας, μέσω της μελέτης περίπτωσης βελτιστοποίησης σχεδιασμού που εξετάστηκε σε όλο το κεφάλαιο [</w:t>
      </w:r>
      <w:r>
        <w:fldChar w:fldCharType="begin"/>
      </w:r>
      <w:r>
        <w:instrText xml:space="preserve"> REF _Ref_cit_45 \h \* MERGEFORMAT </w:instrText>
      </w:r>
      <w:r>
        <w:fldChar w:fldCharType="separate"/>
      </w:r>
      <w:r w:rsidR="00B0043E" w:rsidRPr="00B0043E">
        <w:t>45</w:t>
      </w:r>
      <w:r>
        <w:fldChar w:fldCharType="end"/>
      </w:r>
      <w:r>
        <w:t>].</w:t>
      </w:r>
    </w:p>
    <w:p w14:paraId="698A1774" w14:textId="18D79864" w:rsidR="006C4C83" w:rsidRDefault="001A2FEB">
      <w:pPr>
        <w:spacing w:line="360" w:lineRule="auto"/>
        <w:ind w:firstLine="576"/>
        <w:jc w:val="both"/>
      </w:pPr>
      <w:r w:rsidRPr="00B81599">
        <w:t>Οι πρόσθετες μελέτες της Ενότητας 3.3 [</w:t>
      </w:r>
      <w:r w:rsidRPr="00B81599">
        <w:fldChar w:fldCharType="begin"/>
      </w:r>
      <w:r w:rsidRPr="00B81599">
        <w:instrText xml:space="preserve"> REF _Ref_cit_65 \h \* MERGEFORMAT </w:instrText>
      </w:r>
      <w:r w:rsidRPr="00B81599">
        <w:fldChar w:fldCharType="separate"/>
      </w:r>
      <w:r w:rsidR="00B0043E" w:rsidRPr="00B0043E">
        <w:t>65</w:t>
      </w:r>
      <w:r w:rsidRPr="00B81599">
        <w:fldChar w:fldCharType="end"/>
      </w:r>
      <w:r w:rsidRPr="00B81599">
        <w:t>]–[</w:t>
      </w:r>
      <w:r w:rsidRPr="00B81599">
        <w:fldChar w:fldCharType="begin"/>
      </w:r>
      <w:r w:rsidRPr="00B81599">
        <w:instrText xml:space="preserve"> REF _Ref_cit_67 \h \* MERGEFORMAT </w:instrText>
      </w:r>
      <w:r w:rsidRPr="00B81599">
        <w:fldChar w:fldCharType="separate"/>
      </w:r>
      <w:r w:rsidR="00B0043E" w:rsidRPr="00B0043E">
        <w:t>67</w:t>
      </w:r>
      <w:r w:rsidRPr="00B81599">
        <w:fldChar w:fldCharType="end"/>
      </w:r>
      <w:r w:rsidRPr="00B81599">
        <w:t>] καταδεικνύουν δύο ακόμη σημεία. Πρώτον, η οικονομική αποτίμηση των WAPS δεν περιορίζεται στην NPV</w:t>
      </w:r>
      <w:r w:rsidR="00B81599" w:rsidRPr="00B81599">
        <w:t xml:space="preserve">· </w:t>
      </w:r>
      <w:r w:rsidRPr="00B81599">
        <w:t xml:space="preserve">στη </w:t>
      </w:r>
      <w:r w:rsidRPr="00B81599">
        <w:lastRenderedPageBreak/>
        <w:t>μελέτη του VLCC χρησιμοποιείται ο απαιτούμενος ναύλος [</w:t>
      </w:r>
      <w:r w:rsidRPr="00B81599">
        <w:fldChar w:fldCharType="begin"/>
      </w:r>
      <w:r w:rsidRPr="00B81599">
        <w:instrText xml:space="preserve"> REF _Ref_cit_65 \h \* MERGEFORMAT </w:instrText>
      </w:r>
      <w:r w:rsidRPr="00B81599">
        <w:fldChar w:fldCharType="separate"/>
      </w:r>
      <w:r w:rsidR="00B0043E" w:rsidRPr="00B0043E">
        <w:t>65</w:t>
      </w:r>
      <w:r w:rsidRPr="00B81599">
        <w:fldChar w:fldCharType="end"/>
      </w:r>
      <w:r w:rsidRPr="00B81599">
        <w:t>], ενώ σε άλλες μελέτες χρησιμοποιείται η περίοδος αποπληρωμής [</w:t>
      </w:r>
      <w:r w:rsidRPr="00B81599">
        <w:fldChar w:fldCharType="begin"/>
      </w:r>
      <w:r w:rsidRPr="00B81599">
        <w:instrText xml:space="preserve"> REF _Ref_cit_66 \h \* MERGEFORMAT </w:instrText>
      </w:r>
      <w:r w:rsidRPr="00B81599">
        <w:fldChar w:fldCharType="separate"/>
      </w:r>
      <w:r w:rsidR="00B0043E" w:rsidRPr="00B0043E">
        <w:t>66</w:t>
      </w:r>
      <w:r w:rsidRPr="00B81599">
        <w:fldChar w:fldCharType="end"/>
      </w:r>
      <w:r w:rsidRPr="00B81599">
        <w:t>], [</w:t>
      </w:r>
      <w:r w:rsidRPr="00B81599">
        <w:fldChar w:fldCharType="begin"/>
      </w:r>
      <w:r w:rsidRPr="00B81599">
        <w:instrText xml:space="preserve"> REF _Ref_cit_67 \h \* MERGEFORMAT </w:instrText>
      </w:r>
      <w:r w:rsidRPr="00B81599">
        <w:fldChar w:fldCharType="separate"/>
      </w:r>
      <w:r w:rsidR="00B0043E" w:rsidRPr="00B0043E">
        <w:t>67</w:t>
      </w:r>
      <w:r w:rsidRPr="00B81599">
        <w:fldChar w:fldCharType="end"/>
      </w:r>
      <w:r w:rsidRPr="00B81599">
        <w:t>]. Δεύτερον, τα αποτελέσματα εξαρτώνται έντονα από τον τύπο και το μέγεθος του πλοίου και από τον αριθμό των μονάδων</w:t>
      </w:r>
      <w:r w:rsidR="00B81599" w:rsidRPr="00B81599">
        <w:t>·</w:t>
      </w:r>
      <w:r w:rsidRPr="00B81599">
        <w:t xml:space="preserve"> οι αναφερόμενες εξοικονομήσεις κυμαίνονται από περίπου 3% για μικρό πλοίο γενικού φορτίου με έναν </w:t>
      </w:r>
      <w:proofErr w:type="spellStart"/>
      <w:r w:rsidRPr="00B81599">
        <w:t>ρότορα</w:t>
      </w:r>
      <w:proofErr w:type="spellEnd"/>
      <w:r w:rsidRPr="00B81599">
        <w:t xml:space="preserve"> [</w:t>
      </w:r>
      <w:r w:rsidRPr="00B81599">
        <w:fldChar w:fldCharType="begin"/>
      </w:r>
      <w:r w:rsidRPr="00B81599">
        <w:instrText xml:space="preserve"> REF _Ref_cit_67 \h \* MERGEFORMAT </w:instrText>
      </w:r>
      <w:r w:rsidRPr="00B81599">
        <w:fldChar w:fldCharType="separate"/>
      </w:r>
      <w:r w:rsidR="00B0043E" w:rsidRPr="00B0043E">
        <w:t>67</w:t>
      </w:r>
      <w:r w:rsidRPr="00B81599">
        <w:fldChar w:fldCharType="end"/>
      </w:r>
      <w:r w:rsidRPr="00B81599">
        <w:t xml:space="preserve">] έως περίπου 30% για δεξαμενόπλοιο με πολλούς </w:t>
      </w:r>
      <w:proofErr w:type="spellStart"/>
      <w:r w:rsidRPr="00B81599">
        <w:t>ρότορες</w:t>
      </w:r>
      <w:proofErr w:type="spellEnd"/>
      <w:r w:rsidRPr="00B81599">
        <w:t xml:space="preserve"> [</w:t>
      </w:r>
      <w:r w:rsidRPr="00B81599">
        <w:fldChar w:fldCharType="begin"/>
      </w:r>
      <w:r w:rsidRPr="00B81599">
        <w:instrText xml:space="preserve"> REF _Ref_cit_66 \h \* MERGEFORMAT </w:instrText>
      </w:r>
      <w:r w:rsidRPr="00B81599">
        <w:fldChar w:fldCharType="separate"/>
      </w:r>
      <w:r w:rsidR="00B0043E" w:rsidRPr="00B0043E">
        <w:t>66</w:t>
      </w:r>
      <w:r w:rsidRPr="00B81599">
        <w:fldChar w:fldCharType="end"/>
      </w:r>
      <w:r w:rsidRPr="00B81599">
        <w:t>], γεγονός που ενισχύει την ανάγκη για αξιολόγηση ανά περίπτωση.</w:t>
      </w:r>
    </w:p>
    <w:p w14:paraId="7DBCD884" w14:textId="3E8089D9" w:rsidR="00DD7DA9" w:rsidRDefault="00DD7DA9">
      <w:r>
        <w:br w:type="page"/>
      </w:r>
    </w:p>
    <w:p w14:paraId="7D6CD7F0" w14:textId="77777777" w:rsidR="00DE3C3C" w:rsidRDefault="003C7DFB">
      <w:pPr>
        <w:pStyle w:val="11"/>
      </w:pPr>
      <w:bookmarkStart w:id="135" w:name="_Toc243355306"/>
      <w:r>
        <w:lastRenderedPageBreak/>
        <w:t>Κανονιστικό πλαίσιο και εκπομπές CO₂ των ευρωπαϊκών θαλάσσιων μεταφορών</w:t>
      </w:r>
      <w:bookmarkEnd w:id="135"/>
    </w:p>
    <w:p w14:paraId="53A50FEB" w14:textId="77777777" w:rsidR="00DE3C3C" w:rsidRDefault="003C7DFB">
      <w:pPr>
        <w:pStyle w:val="20"/>
      </w:pPr>
      <w:bookmarkStart w:id="136" w:name="_Toc243355307"/>
      <w:r>
        <w:t>Εισαγωγή</w:t>
      </w:r>
      <w:bookmarkEnd w:id="136"/>
    </w:p>
    <w:p w14:paraId="7E607C6A" w14:textId="492352B1" w:rsidR="00DE3C3C" w:rsidRDefault="003C7DFB">
      <w:pPr>
        <w:spacing w:line="360" w:lineRule="auto"/>
        <w:ind w:firstLine="576"/>
        <w:jc w:val="both"/>
      </w:pPr>
      <w:r>
        <w:t>Η τεχνοοικονομική επίδοση ενός συστήματος αιολικής υποβοήθησης της πρόωσης δεν μπορεί να κριθεί μόνο με βάση την αεροδυναμική και την υδροδυναμική της γάστρας. Όπως έδειξε το Κεφάλαιο 3, η οικονομική βιωσιμότητα των WAPS καθορίζεται από το κόστος επένδυσης, την τιμή του καυσίμου, την τιμολόγηση του άνθρακα και τους κανονιστικούς περιορισμούς που πρέπει να ικανοποιεί ένα πλοίο καθ’ όλη τη διάρκεια ζωής του [</w:t>
      </w:r>
      <w:r>
        <w:fldChar w:fldCharType="begin"/>
      </w:r>
      <w:r>
        <w:instrText xml:space="preserve"> REF _Ref_cit_40 \h \* MERGEFORMAT </w:instrText>
      </w:r>
      <w:r>
        <w:fldChar w:fldCharType="separate"/>
      </w:r>
      <w:r w:rsidR="00B0043E" w:rsidRPr="00B0043E">
        <w:t>40</w:t>
      </w:r>
      <w:r>
        <w:fldChar w:fldCharType="end"/>
      </w:r>
      <w:r>
        <w:t>], [</w:t>
      </w:r>
      <w:r>
        <w:fldChar w:fldCharType="begin"/>
      </w:r>
      <w:r>
        <w:instrText xml:space="preserve"> REF _Ref_cit_45 \h \* MERGEFORMAT </w:instrText>
      </w:r>
      <w:r>
        <w:fldChar w:fldCharType="separate"/>
      </w:r>
      <w:r w:rsidR="00B0043E" w:rsidRPr="00B0043E">
        <w:t>45</w:t>
      </w:r>
      <w:r>
        <w:fldChar w:fldCharType="end"/>
      </w:r>
      <w:r>
        <w:t>]. Η σύζευξη αυτή είναι ισχυρότερη από οπουδήποτε αλλού στην Ευρώπη, όπου η ναυτιλία έχει ενταχθεί στο πεδίο εφαρμογής της νομοθεσίας της Ευρωπαϊκής Ένωσης για την τιμολόγηση του άνθρακα και τα πρότυπα καυσίμων, παράλληλα με τα παγκόσμια μέτρα του Διεθνούς Ναυτιλιακού Οργανισμού (IMO). Για ένα πλοίο που προσεγγίζει ευρωπαϊκούς λιμένες, ένας τόνος εξοικονομούμενου καυσίμου δεν αξίζει πλέον μόνο όσο η τιμή αγοράς του</w:t>
      </w:r>
      <w:r w:rsidR="000C7CE3" w:rsidRPr="000C7CE3">
        <w:t>·</w:t>
      </w:r>
      <w:r>
        <w:t xml:space="preserve"> αποτρέπει επίσης την αγορά δικαιωμάτων εκπομπής, μειώνει την έκθεση σε κυρώσεις στο πλαίσιο ενός προτύπου έντασης καυσίμου και βελτιώνει την επιχειρησιακή βαθμολογία άνθρακα του πλοίου.</w:t>
      </w:r>
    </w:p>
    <w:p w14:paraId="5691EABD" w14:textId="44899E91" w:rsidR="00DE3C3C" w:rsidRDefault="003C7DFB">
      <w:pPr>
        <w:spacing w:line="360" w:lineRule="auto"/>
        <w:ind w:firstLine="576"/>
        <w:jc w:val="both"/>
      </w:pPr>
      <w:r>
        <w:t>Το παρόν κεφάλαιο έχει επομένως τέσσερις στόχους. Πρώτον, εντάσσει τις εκπομπές της ναυτιλίας στο παγκόσμιο πλαίσιό τους και τεκμηριώνει την κλίμακα και τη διάρθρωση των εκπομπών CO₂ από τις θαλάσσιες μεταφορές στην Ευρώπη, χρησιμοποιώντας τα δεδομένα εκπομπών που δηλώνονται στο πλαίσιο του συστήματος παρακολούθησης, υποβολής εκθέσεων και επαλήθευσης (</w:t>
      </w:r>
      <w:proofErr w:type="spellStart"/>
      <w:r>
        <w:t>monitoring</w:t>
      </w:r>
      <w:proofErr w:type="spellEnd"/>
      <w:r>
        <w:t xml:space="preserve">, </w:t>
      </w:r>
      <w:proofErr w:type="spellStart"/>
      <w:r>
        <w:t>reporting</w:t>
      </w:r>
      <w:proofErr w:type="spellEnd"/>
      <w:r>
        <w:t xml:space="preserve"> and </w:t>
      </w:r>
      <w:proofErr w:type="spellStart"/>
      <w:r>
        <w:t>verification</w:t>
      </w:r>
      <w:proofErr w:type="spellEnd"/>
      <w:r>
        <w:t xml:space="preserve">, MRV) της ΕΕ. Δεύτερον, περιγράφει αναλυτικά </w:t>
      </w:r>
      <w:r w:rsidR="00835354">
        <w:t>τους κανονισμούς</w:t>
      </w:r>
      <w:r>
        <w:t xml:space="preserve"> που επιδρούν στις εκπομπές αυτές, δηλαδή τον Κανονισμό MRV της ΕΕ, το Σύστημα Εμπορίας Δικαιωμάτων Εκπομπών της ΕΕ (EU ETS), τον Κανονισμό </w:t>
      </w:r>
      <w:proofErr w:type="spellStart"/>
      <w:r>
        <w:t>FuelEU</w:t>
      </w:r>
      <w:proofErr w:type="spellEnd"/>
      <w:r>
        <w:t xml:space="preserve"> Maritime και το πλαίσιο ενεργειακής απόδοσης και έντασης άνθρακα του IMO, συμπεριλαμβανομένης της κατάστασης του Πλαισίου Μηδενικών Καθαρών Εκπομπών του IMO, και εξετάζει τον τρόπο με τον οποίο η αιολική υποβοήθηση της πρόωσης αναγνωρίζεται και επαληθεύεται στο πλαίσιό τους. Τρίτον, επισκοπεί την κατάσταση της αγοράς, τη</w:t>
      </w:r>
      <w:r w:rsidR="00133FD5">
        <w:t>ν</w:t>
      </w:r>
      <w:r>
        <w:t xml:space="preserve"> επίδοση, τα οικονομικά μεγέθη και τα εμπόδια στην υιοθέτηση των WAPS, καθώς και τη σχέση τους με τα εναλλακτικά καύσιμα, χρησιμοποιώντας τις πηγές που συγκεντρώθηκαν για την παρούσα εργασία. Τέταρτον, μεταφράζει τα </w:t>
      </w:r>
      <w:r>
        <w:lastRenderedPageBreak/>
        <w:t xml:space="preserve">κανονιστικά εργαλεία σε μεγέθη σχετικά με την αξιολόγηση των WAPS, όπως το </w:t>
      </w:r>
      <w:proofErr w:type="spellStart"/>
      <w:r>
        <w:t>αποφευγόμενο</w:t>
      </w:r>
      <w:proofErr w:type="spellEnd"/>
      <w:r>
        <w:t xml:space="preserve"> κόστος άνθρακα ανά τόνο εξοικονομούμενου καυσίμου, η επίδραση του συντελεστή επιβράβευσης αιολικής ενέργειας του </w:t>
      </w:r>
      <w:proofErr w:type="spellStart"/>
      <w:r>
        <w:t>FuelEU</w:t>
      </w:r>
      <w:proofErr w:type="spellEnd"/>
      <w:r>
        <w:t xml:space="preserve"> στην έκθεση συμμόρφωσης και μια ενδεικτική περίοδος αποπληρωμής. Οι υπολογισμοί της Ενότητας 4.10 είναι σκόπιμα γενικοί, δηλαδή εκφράζονται ανά τόνο καυσίμου ή ανά μονάδα εκπομπών του στόλου, και δεν συνδέονται με συγκεκριμένο πλοίο. Βασίζονται στις κανονιστικές παραμέτρους και στα δεδομένα εκπομπών που παρατίθενται στο κείμενο, καθώς και σε μικρό αριθμό ρητά διατυπωμένων ενδεικτικών παραδοχών.</w:t>
      </w:r>
    </w:p>
    <w:p w14:paraId="36E734CB" w14:textId="4B0F37AD" w:rsidR="00DE3C3C" w:rsidRDefault="003C7DFB">
      <w:pPr>
        <w:pStyle w:val="20"/>
      </w:pPr>
      <w:bookmarkStart w:id="137" w:name="_Toc243355308"/>
      <w:r>
        <w:t>Παγκόσμιο πλαίσιο: θαλάσσιες μεταφορές, εκπομπές και δυνα</w:t>
      </w:r>
      <w:r w:rsidR="00CF334A">
        <w:t>τότητα</w:t>
      </w:r>
      <w:r>
        <w:t xml:space="preserve"> μείωσης</w:t>
      </w:r>
      <w:r w:rsidR="00CF334A">
        <w:t xml:space="preserve"> τους</w:t>
      </w:r>
      <w:bookmarkEnd w:id="137"/>
    </w:p>
    <w:p w14:paraId="7F474E30" w14:textId="04AC35D7" w:rsidR="00DE3C3C" w:rsidRDefault="003C7DFB">
      <w:pPr>
        <w:pStyle w:val="30"/>
      </w:pPr>
      <w:bookmarkStart w:id="138" w:name="_Toc243355309"/>
      <w:r>
        <w:t>Θαλάσσιο εμπόριο, δ</w:t>
      </w:r>
      <w:r w:rsidR="0054569F">
        <w:t>ομή</w:t>
      </w:r>
      <w:r>
        <w:t xml:space="preserve"> του στόλου και απόσταση </w:t>
      </w:r>
      <w:r w:rsidR="00A73044">
        <w:t>ταξιδιού</w:t>
      </w:r>
      <w:bookmarkEnd w:id="138"/>
    </w:p>
    <w:p w14:paraId="6D8F7521" w14:textId="030568ED" w:rsidR="00DE3C3C" w:rsidRDefault="003C7DFB">
      <w:pPr>
        <w:spacing w:line="360" w:lineRule="auto"/>
        <w:ind w:firstLine="576"/>
        <w:jc w:val="both"/>
      </w:pPr>
      <w:r>
        <w:t>Σύμφωνα με την UNCTAD, το παγκόσμιο θαλάσσιο εμπόριο ανήλθε σε 12</w:t>
      </w:r>
      <w:r w:rsidR="0054569F">
        <w:t>.</w:t>
      </w:r>
      <w:r>
        <w:t>720 εκατομμύρια τόνους το 2024, σημειώνοντας αύξηση 2</w:t>
      </w:r>
      <w:r w:rsidR="0054569F">
        <w:t>,</w:t>
      </w:r>
      <w:r>
        <w:t>2% σε σχέση με το προηγούμενο έτος, η οποία ήταν υψηλότερη από τη μέση ετήσια αύξηση 1</w:t>
      </w:r>
      <w:r w:rsidR="0054569F">
        <w:t>,</w:t>
      </w:r>
      <w:r>
        <w:t>8% της περιόδου 2013–2023, αλλά χαμηλότερη από τον μακροχρόνιο μέσο όρο 2</w:t>
      </w:r>
      <w:r w:rsidR="0054569F">
        <w:t>,</w:t>
      </w:r>
      <w:r>
        <w:t>9% της περιόδου 2003–2023 [</w:t>
      </w:r>
      <w:r>
        <w:fldChar w:fldCharType="begin"/>
      </w:r>
      <w:r>
        <w:instrText xml:space="preserve"> REF _Ref_cit_1 \h \* MERGEFORMAT </w:instrText>
      </w:r>
      <w:r>
        <w:fldChar w:fldCharType="separate"/>
      </w:r>
      <w:r w:rsidR="00B0043E" w:rsidRPr="00B0043E">
        <w:t>1</w:t>
      </w:r>
      <w:r>
        <w:fldChar w:fldCharType="end"/>
      </w:r>
      <w:r>
        <w:t xml:space="preserve">]. Σημαντικότερο μέγεθος για τις εκπομπές είναι το εμπόριο σε </w:t>
      </w:r>
      <w:proofErr w:type="spellStart"/>
      <w:r>
        <w:t>τονομίλια</w:t>
      </w:r>
      <w:proofErr w:type="spellEnd"/>
      <w:r>
        <w:t>, το οποίο αυξήθηκε κατά 5</w:t>
      </w:r>
      <w:r w:rsidR="00A338DC">
        <w:t>,</w:t>
      </w:r>
      <w:r>
        <w:t>9% σε 66</w:t>
      </w:r>
      <w:r w:rsidR="00A338DC">
        <w:t>.</w:t>
      </w:r>
      <w:r>
        <w:t>781 δισεκατομμύρια, η ταχύτερη αύξηση από το 2011. Η UNCTAD αποδίδει τη διαφορά μεταξύ των δύο ρυθμών αύξησης στην εκτροπή των πλοίων γύρω από το Ακρωτήριο της Καλής Ελπίδας λόγω της αναστάτωσης στην Ερυθρά Θάλασσα, καθώς και στους περιορισμούς στη Διώρυγα του Παναμά. Η μέση απόσταση μεταφοράς ενός τόνου φορτίου αυξήθηκε από 4</w:t>
      </w:r>
      <w:r w:rsidR="00387D80">
        <w:t>.</w:t>
      </w:r>
      <w:r>
        <w:t>831 ναυτικά μίλια το 2018 σε 5</w:t>
      </w:r>
      <w:r w:rsidR="00387D80">
        <w:t>.</w:t>
      </w:r>
      <w:r>
        <w:t>245 ναυτικά μίλια το 2024, ενώ μόνο η παράκαμψη της νότιας Αφρικής πρόσθεσε περίπου 30% στο μήκος ενός ταξιδιού μεταξύ Ανατολικής Ασίας και Ευρώπης [</w:t>
      </w:r>
      <w:r>
        <w:fldChar w:fldCharType="begin"/>
      </w:r>
      <w:r>
        <w:instrText xml:space="preserve"> REF _Ref_cit_1 \h \* MERGEFORMAT </w:instrText>
      </w:r>
      <w:r>
        <w:fldChar w:fldCharType="separate"/>
      </w:r>
      <w:r w:rsidR="00B0043E" w:rsidRPr="00B0043E">
        <w:t>1</w:t>
      </w:r>
      <w:r>
        <w:fldChar w:fldCharType="end"/>
      </w:r>
      <w:r>
        <w:t xml:space="preserve">]. Επειδή η κατανάλωση καυσίμου και οι εκπομπές αυξάνονται με την απόσταση, η επιμήκυνση των ταξιδιών λειτουργεί αντίθετα προς την </w:t>
      </w:r>
      <w:proofErr w:type="spellStart"/>
      <w:r>
        <w:t>απανθρακοποίηση</w:t>
      </w:r>
      <w:proofErr w:type="spellEnd"/>
      <w:r>
        <w:t xml:space="preserve"> του κλάδου, ενώ αυξάνει επίσης τον αριθμό των ημερών που τα πλοία περνούν σε συνθήκες ανοιχτού ωκεανού, όπου το αιολικό δυναμικό είναι γενικά ευνοϊκότερο από ό,τι στα παράκτια και κλειστά ύδατα.</w:t>
      </w:r>
    </w:p>
    <w:p w14:paraId="5415F5B8" w14:textId="77777777" w:rsidR="00DE3C3C" w:rsidRDefault="003C7DFB">
      <w:pPr>
        <w:pStyle w:val="30"/>
      </w:pPr>
      <w:bookmarkStart w:id="139" w:name="_Toc243355310"/>
      <w:r>
        <w:t>Παγκόσμιες εκπομπές αερίων θερμοκηπίου και το επίπεδο αναφοράς του IMO</w:t>
      </w:r>
      <w:bookmarkEnd w:id="139"/>
    </w:p>
    <w:p w14:paraId="69807F97" w14:textId="473CE2B1" w:rsidR="00DE3C3C" w:rsidRDefault="003C7DFB">
      <w:pPr>
        <w:spacing w:line="360" w:lineRule="auto"/>
        <w:ind w:firstLine="576"/>
        <w:jc w:val="both"/>
      </w:pPr>
      <w:r>
        <w:t>Η Τέταρτη Μελέτη του IMO για τα Αέρια Θερμοκηπίου εκτίμησε ότι η διεθνής και η εγχώρια ναυτιλία εξέπεμψαν περίπου 1</w:t>
      </w:r>
      <w:r w:rsidR="00170A74">
        <w:t>.</w:t>
      </w:r>
      <w:r>
        <w:t xml:space="preserve">076 εκατομμύρια τόνους ισοδύναμου CO₂ </w:t>
      </w:r>
      <w:r>
        <w:lastRenderedPageBreak/>
        <w:t>το 2018, ποσότητα που αντιστοιχεί στο 2</w:t>
      </w:r>
      <w:r w:rsidR="00170A74">
        <w:t>,</w:t>
      </w:r>
      <w:r>
        <w:t>89% των παγκόσμιων ανθρωπογενών εκπομπών αερίων θερμοκηπίου, και προέβλεψε εκπομπές ίσες με το 90 έως 130% του επιπέδου του 2008 έως το 2050 χωρίς πρόσθετες πολιτικές [</w:t>
      </w:r>
      <w:r>
        <w:fldChar w:fldCharType="begin"/>
      </w:r>
      <w:r>
        <w:instrText xml:space="preserve"> REF _Ref_cit_9 \h \* MERGEFORMAT </w:instrText>
      </w:r>
      <w:r>
        <w:fldChar w:fldCharType="separate"/>
      </w:r>
      <w:r w:rsidR="00B0043E" w:rsidRPr="00B0043E">
        <w:t>9</w:t>
      </w:r>
      <w:r>
        <w:fldChar w:fldCharType="end"/>
      </w:r>
      <w:r>
        <w:t>], [</w:t>
      </w:r>
      <w:r>
        <w:fldChar w:fldCharType="begin"/>
      </w:r>
      <w:r>
        <w:instrText xml:space="preserve"> REF _Ref_cit_60 \h \* MERGEFORMAT </w:instrText>
      </w:r>
      <w:r>
        <w:fldChar w:fldCharType="separate"/>
      </w:r>
      <w:r w:rsidR="00B0043E" w:rsidRPr="00B0043E">
        <w:t>60</w:t>
      </w:r>
      <w:r>
        <w:fldChar w:fldCharType="end"/>
      </w:r>
      <w:r>
        <w:t>]. Η UNCTAD αναφέρει ότι οι εκπομπές CO₂ της ναυτιλίας αυξήθηκαν κατά περίπου 5% το 2024, λόγω των μεγαλύτερων αποστάσεων και των υψηλότερων ταχυτήτων</w:t>
      </w:r>
      <w:r w:rsidR="00170A74">
        <w:t xml:space="preserve"> που πραγματοποι</w:t>
      </w:r>
      <w:r w:rsidR="00FB39B2">
        <w:t>ούσαν τα πλοία</w:t>
      </w:r>
      <w:r>
        <w:t xml:space="preserve"> [</w:t>
      </w:r>
      <w:r>
        <w:fldChar w:fldCharType="begin"/>
      </w:r>
      <w:r>
        <w:instrText xml:space="preserve"> REF _Ref_cit_1 \h \* MERGEFORMAT </w:instrText>
      </w:r>
      <w:r>
        <w:fldChar w:fldCharType="separate"/>
      </w:r>
      <w:r w:rsidR="00B0043E" w:rsidRPr="00B0043E">
        <w:t>1</w:t>
      </w:r>
      <w:r>
        <w:fldChar w:fldCharType="end"/>
      </w:r>
      <w:r>
        <w:t>]. Σύμφωνα με το σύστημα συλλογής δεδομένων του IMO, η ένταση άνθρακα του στόλου σε σχέση με το 2008 μειώθηκε κατά 31% (σε βάση προσφοράς) και κατά 36</w:t>
      </w:r>
      <w:r w:rsidR="00FB39B2">
        <w:t>,</w:t>
      </w:r>
      <w:r>
        <w:t>5% (σε βάση ζήτησης) έως το 2023, ενώ η κατανάλωση καυσίμου παρέμεινε σε περίπου 211 εκατομμύρια τόνους, κοντά στους 213 εκατομμύρια τόνους του 2019 [</w:t>
      </w:r>
      <w:r>
        <w:fldChar w:fldCharType="begin"/>
      </w:r>
      <w:r>
        <w:instrText xml:space="preserve"> REF _Ref_cit_10 \h \* MERGEFORMAT </w:instrText>
      </w:r>
      <w:r>
        <w:fldChar w:fldCharType="separate"/>
      </w:r>
      <w:r w:rsidR="00B0043E" w:rsidRPr="00B0043E">
        <w:t>10</w:t>
      </w:r>
      <w:r>
        <w:fldChar w:fldCharType="end"/>
      </w:r>
      <w:r>
        <w:t>]. Η αποδοτικότητα ανά μονάδα μεταφορικού έργου έχει επομένως βελτιωθεί, όμως η αύξηση του μεταφορικού έργου έχει απορροφήσει το όφελος· η διάκριση αυτή μεταξύ έντασης και απόλυτων εκπομπών αποτελεί τη βάση του συνδυασμού δεικτών αποδοτικότητας (EEDI, EEXI, CII) με εργαλεία που τιμολογούν ή θέτουν ανώτατο όριο στις απόλυτες εκπομπές (EU ETS, Πλαίσιο Μηδενικών Καθαρών Εκπομπών του IMO).</w:t>
      </w:r>
    </w:p>
    <w:p w14:paraId="01ABA557" w14:textId="057B6977" w:rsidR="00DE3C3C" w:rsidRDefault="003C7DFB">
      <w:pPr>
        <w:pStyle w:val="30"/>
      </w:pPr>
      <w:bookmarkStart w:id="140" w:name="_Toc243355311"/>
      <w:r>
        <w:t>Δυνα</w:t>
      </w:r>
      <w:r w:rsidR="009A2A03">
        <w:t>τότητα</w:t>
      </w:r>
      <w:r>
        <w:t xml:space="preserve"> μείωσης </w:t>
      </w:r>
      <w:r w:rsidR="00014DC7">
        <w:t xml:space="preserve">μέσω </w:t>
      </w:r>
      <w:r>
        <w:t xml:space="preserve">των τεχνικών και </w:t>
      </w:r>
      <w:r w:rsidR="00915411">
        <w:t>λειτουργικών</w:t>
      </w:r>
      <w:r>
        <w:t xml:space="preserve"> μέτρων</w:t>
      </w:r>
      <w:bookmarkEnd w:id="140"/>
    </w:p>
    <w:p w14:paraId="30F2BA25" w14:textId="4A110330" w:rsidR="00DE3C3C" w:rsidRDefault="003C7DFB">
      <w:pPr>
        <w:spacing w:line="360" w:lineRule="auto"/>
        <w:ind w:firstLine="576"/>
        <w:jc w:val="both"/>
      </w:pPr>
      <w:r>
        <w:t xml:space="preserve">Η επισκόπηση των </w:t>
      </w:r>
      <w:proofErr w:type="spellStart"/>
      <w:r>
        <w:t>Bouman</w:t>
      </w:r>
      <w:proofErr w:type="spellEnd"/>
      <w:r>
        <w:t xml:space="preserve"> </w:t>
      </w:r>
      <w:proofErr w:type="spellStart"/>
      <w:r>
        <w:t>et</w:t>
      </w:r>
      <w:proofErr w:type="spellEnd"/>
      <w:r>
        <w:t xml:space="preserve"> </w:t>
      </w:r>
      <w:proofErr w:type="spellStart"/>
      <w:r>
        <w:t>al</w:t>
      </w:r>
      <w:proofErr w:type="spellEnd"/>
      <w:r>
        <w:t>. [</w:t>
      </w:r>
      <w:r>
        <w:fldChar w:fldCharType="begin"/>
      </w:r>
      <w:r>
        <w:instrText xml:space="preserve"> REF _Ref_cit_12 \h \* MERGEFORMAT </w:instrText>
      </w:r>
      <w:r>
        <w:fldChar w:fldCharType="separate"/>
      </w:r>
      <w:r w:rsidR="00B0043E" w:rsidRPr="00B0043E">
        <w:t>12</w:t>
      </w:r>
      <w:r>
        <w:fldChar w:fldCharType="end"/>
      </w:r>
      <w:r>
        <w:t>], η οποία βασίζεται σε περίπου 150 μελέτες, αποτελεί την πληρέστερη σύγκριση τ</w:t>
      </w:r>
      <w:r w:rsidR="009A2A03">
        <w:t>ης</w:t>
      </w:r>
      <w:r>
        <w:t xml:space="preserve"> δυνα</w:t>
      </w:r>
      <w:r w:rsidR="009A2A03">
        <w:t>τότητας</w:t>
      </w:r>
      <w:r>
        <w:t xml:space="preserve"> μείωσης</w:t>
      </w:r>
      <w:r w:rsidR="00915411">
        <w:t xml:space="preserve"> των εκπομπών μέσω</w:t>
      </w:r>
      <w:r>
        <w:t xml:space="preserve"> των μέτρων που είναι διαθέσιμα στη ναυτιλία. Εκτιμά τις εκπομπές CO₂ της ναυτιλίας σε 938 εκατομμύρια τόνους το 2012, ποσότητα που αντιστοιχεί στο 2</w:t>
      </w:r>
      <w:r w:rsidR="009A2A03">
        <w:t>,</w:t>
      </w:r>
      <w:r>
        <w:t xml:space="preserve">6% του παγκόσμιου συνόλου, και προβλέπει αύξηση κατά 150 έως 250% έως το 2050 σε σενάριο συνέχισης των σημερινών τάσεων. Οι συγγραφείς ομαδοποιούν τα μέτρα σε σχεδιασμό γάστρας, ισχύ και πρόωση, εναλλακτικά καύσιμα, εναλλακτικές πηγές ενέργειας και λειτουργία, και αναφέρουν για καθένα το εύρος </w:t>
      </w:r>
      <w:r w:rsidR="003439F3">
        <w:t>της δυνατότητας</w:t>
      </w:r>
      <w:r>
        <w:t xml:space="preserve"> μείωσης</w:t>
      </w:r>
      <w:r w:rsidR="00610E5F">
        <w:t xml:space="preserve"> μέχρι το 2050,</w:t>
      </w:r>
      <w:r>
        <w:t xml:space="preserve"> που εντοπίζεται στη βιβλιογραφία. Ο </w:t>
      </w:r>
      <w:r w:rsidRPr="009A2A03">
        <w:rPr>
          <w:b/>
          <w:bCs/>
        </w:rPr>
        <w:t>Πίνακας 2</w:t>
      </w:r>
      <w:r>
        <w:t xml:space="preserve"> αναπαράγει τα εύρη για μια επιλογή μέτρων που είναι άμεσα συγκρίσιμα με την αιολική πρόωση.</w:t>
      </w:r>
    </w:p>
    <w:p w14:paraId="6ADBF87B" w14:textId="021EE171" w:rsidR="00DE3C3C" w:rsidRDefault="003C7DFB">
      <w:pPr>
        <w:pStyle w:val="af2"/>
        <w:keepNext/>
        <w:jc w:val="center"/>
        <w:rPr>
          <w:b/>
          <w:bCs/>
          <w:noProof/>
        </w:rPr>
      </w:pPr>
      <w:r>
        <w:rPr>
          <w:b/>
          <w:bCs/>
        </w:rPr>
        <w:t xml:space="preserve">Πίνακας </w:t>
      </w:r>
      <w:r>
        <w:rPr>
          <w:b/>
          <w:bCs/>
        </w:rPr>
        <w:fldChar w:fldCharType="begin"/>
      </w:r>
      <w:r>
        <w:rPr>
          <w:b/>
          <w:bCs/>
        </w:rPr>
        <w:instrText xml:space="preserve"> SEQ Table \* ARABIC </w:instrText>
      </w:r>
      <w:r>
        <w:rPr>
          <w:b/>
          <w:bCs/>
        </w:rPr>
        <w:fldChar w:fldCharType="separate"/>
      </w:r>
      <w:r w:rsidR="00B0043E">
        <w:rPr>
          <w:b/>
          <w:bCs/>
          <w:noProof/>
        </w:rPr>
        <w:t>2</w:t>
      </w:r>
      <w:r>
        <w:rPr>
          <w:b/>
          <w:bCs/>
        </w:rPr>
        <w:fldChar w:fldCharType="end"/>
      </w:r>
      <w:r>
        <w:rPr>
          <w:b/>
          <w:bCs/>
        </w:rPr>
        <w:t>: Αναφερόμεν</w:t>
      </w:r>
      <w:r w:rsidR="009A2A03">
        <w:rPr>
          <w:b/>
          <w:bCs/>
        </w:rPr>
        <w:t>η</w:t>
      </w:r>
      <w:r>
        <w:rPr>
          <w:b/>
          <w:bCs/>
        </w:rPr>
        <w:t xml:space="preserve"> δυνα</w:t>
      </w:r>
      <w:r w:rsidR="003A5492">
        <w:rPr>
          <w:b/>
          <w:bCs/>
        </w:rPr>
        <w:t>τότητα</w:t>
      </w:r>
      <w:r>
        <w:rPr>
          <w:b/>
          <w:bCs/>
        </w:rPr>
        <w:t xml:space="preserve"> μείωσης CO₂ επιλεγμένων μέτρων σύμφωνα με την επισκόπηση των </w:t>
      </w:r>
      <w:proofErr w:type="spellStart"/>
      <w:r>
        <w:rPr>
          <w:b/>
          <w:bCs/>
        </w:rPr>
        <w:t>Bouman</w:t>
      </w:r>
      <w:proofErr w:type="spellEnd"/>
      <w:r>
        <w:rPr>
          <w:b/>
          <w:bCs/>
        </w:rPr>
        <w:t xml:space="preserve"> </w:t>
      </w:r>
      <w:proofErr w:type="spellStart"/>
      <w:r>
        <w:rPr>
          <w:b/>
          <w:bCs/>
        </w:rPr>
        <w:t>et</w:t>
      </w:r>
      <w:proofErr w:type="spellEnd"/>
      <w:r>
        <w:rPr>
          <w:b/>
          <w:bCs/>
        </w:rPr>
        <w:t xml:space="preserve"> </w:t>
      </w:r>
      <w:proofErr w:type="spellStart"/>
      <w:r>
        <w:rPr>
          <w:b/>
          <w:bCs/>
        </w:rPr>
        <w:t>al</w:t>
      </w:r>
      <w:proofErr w:type="spellEnd"/>
      <w:r>
        <w:rPr>
          <w:b/>
          <w:bCs/>
        </w:rPr>
        <w:t>.</w:t>
      </w:r>
    </w:p>
    <w:tbl>
      <w:tblPr>
        <w:tblW w:w="8640"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2300"/>
        <w:gridCol w:w="4000"/>
        <w:gridCol w:w="2340"/>
      </w:tblGrid>
      <w:tr w:rsidR="00DE3C3C" w14:paraId="783F3685" w14:textId="77777777">
        <w:trPr>
          <w:cantSplit/>
          <w:tblHeader/>
          <w:jc w:val="center"/>
        </w:trPr>
        <w:tc>
          <w:tcPr>
            <w:tcW w:w="2300" w:type="dxa"/>
            <w:shd w:val="clear" w:color="auto" w:fill="D9D9D9"/>
            <w:tcMar>
              <w:top w:w="60" w:type="dxa"/>
              <w:left w:w="100" w:type="dxa"/>
              <w:bottom w:w="60" w:type="dxa"/>
              <w:right w:w="100" w:type="dxa"/>
            </w:tcMar>
            <w:vAlign w:val="center"/>
          </w:tcPr>
          <w:p w14:paraId="13D86BC4" w14:textId="77777777" w:rsidR="00DE3C3C" w:rsidRDefault="003C7DFB" w:rsidP="00535231">
            <w:pPr>
              <w:spacing w:after="0" w:line="240" w:lineRule="auto"/>
              <w:jc w:val="center"/>
              <w:rPr>
                <w:sz w:val="18"/>
                <w:szCs w:val="18"/>
              </w:rPr>
            </w:pPr>
            <w:r>
              <w:rPr>
                <w:b/>
                <w:bCs/>
                <w:sz w:val="18"/>
                <w:szCs w:val="18"/>
              </w:rPr>
              <w:t>Κατηγορία</w:t>
            </w:r>
          </w:p>
        </w:tc>
        <w:tc>
          <w:tcPr>
            <w:tcW w:w="4000" w:type="dxa"/>
            <w:shd w:val="clear" w:color="auto" w:fill="D9D9D9"/>
            <w:tcMar>
              <w:top w:w="60" w:type="dxa"/>
              <w:left w:w="100" w:type="dxa"/>
              <w:bottom w:w="60" w:type="dxa"/>
              <w:right w:w="100" w:type="dxa"/>
            </w:tcMar>
            <w:vAlign w:val="center"/>
          </w:tcPr>
          <w:p w14:paraId="70AAF306" w14:textId="77777777" w:rsidR="00DE3C3C" w:rsidRDefault="003C7DFB" w:rsidP="00535231">
            <w:pPr>
              <w:spacing w:after="0" w:line="240" w:lineRule="auto"/>
              <w:jc w:val="center"/>
              <w:rPr>
                <w:sz w:val="18"/>
                <w:szCs w:val="18"/>
              </w:rPr>
            </w:pPr>
            <w:r>
              <w:rPr>
                <w:b/>
                <w:bCs/>
                <w:sz w:val="18"/>
                <w:szCs w:val="18"/>
              </w:rPr>
              <w:t>Μέτρο</w:t>
            </w:r>
          </w:p>
        </w:tc>
        <w:tc>
          <w:tcPr>
            <w:tcW w:w="2340" w:type="dxa"/>
            <w:shd w:val="clear" w:color="auto" w:fill="D9D9D9"/>
            <w:tcMar>
              <w:top w:w="60" w:type="dxa"/>
              <w:left w:w="100" w:type="dxa"/>
              <w:bottom w:w="60" w:type="dxa"/>
              <w:right w:w="100" w:type="dxa"/>
            </w:tcMar>
            <w:vAlign w:val="center"/>
          </w:tcPr>
          <w:p w14:paraId="693A2F8D" w14:textId="5E740A91" w:rsidR="00DE3C3C" w:rsidRDefault="003C7DFB" w:rsidP="00535231">
            <w:pPr>
              <w:spacing w:after="0" w:line="240" w:lineRule="auto"/>
              <w:jc w:val="center"/>
              <w:rPr>
                <w:sz w:val="18"/>
                <w:szCs w:val="18"/>
              </w:rPr>
            </w:pPr>
            <w:r>
              <w:rPr>
                <w:b/>
                <w:bCs/>
                <w:sz w:val="18"/>
                <w:szCs w:val="18"/>
              </w:rPr>
              <w:t>Αναφερόμεν</w:t>
            </w:r>
            <w:r w:rsidR="00021EB9">
              <w:rPr>
                <w:b/>
                <w:bCs/>
                <w:sz w:val="18"/>
                <w:szCs w:val="18"/>
              </w:rPr>
              <w:t>η</w:t>
            </w:r>
            <w:r>
              <w:rPr>
                <w:b/>
                <w:bCs/>
                <w:sz w:val="18"/>
                <w:szCs w:val="18"/>
              </w:rPr>
              <w:t xml:space="preserve"> </w:t>
            </w:r>
            <w:r w:rsidR="003A5492">
              <w:rPr>
                <w:b/>
                <w:bCs/>
                <w:sz w:val="18"/>
                <w:szCs w:val="18"/>
              </w:rPr>
              <w:t>μείωση</w:t>
            </w:r>
          </w:p>
        </w:tc>
      </w:tr>
      <w:tr w:rsidR="00DE3C3C" w14:paraId="4C4A58CD" w14:textId="77777777">
        <w:trPr>
          <w:cantSplit/>
          <w:jc w:val="center"/>
        </w:trPr>
        <w:tc>
          <w:tcPr>
            <w:tcW w:w="2300" w:type="dxa"/>
            <w:tcMar>
              <w:top w:w="60" w:type="dxa"/>
              <w:left w:w="100" w:type="dxa"/>
              <w:bottom w:w="60" w:type="dxa"/>
              <w:right w:w="100" w:type="dxa"/>
            </w:tcMar>
            <w:vAlign w:val="center"/>
          </w:tcPr>
          <w:p w14:paraId="2C1B87A6" w14:textId="77777777" w:rsidR="00DE3C3C" w:rsidRDefault="003C7DFB" w:rsidP="00535231">
            <w:pPr>
              <w:spacing w:after="0" w:line="240" w:lineRule="auto"/>
              <w:jc w:val="center"/>
              <w:rPr>
                <w:sz w:val="18"/>
                <w:szCs w:val="18"/>
              </w:rPr>
            </w:pPr>
            <w:r>
              <w:rPr>
                <w:sz w:val="18"/>
                <w:szCs w:val="18"/>
              </w:rPr>
              <w:t>Εναλλακτική ενέργεια</w:t>
            </w:r>
          </w:p>
        </w:tc>
        <w:tc>
          <w:tcPr>
            <w:tcW w:w="4000" w:type="dxa"/>
            <w:tcMar>
              <w:top w:w="60" w:type="dxa"/>
              <w:left w:w="100" w:type="dxa"/>
              <w:bottom w:w="60" w:type="dxa"/>
              <w:right w:w="100" w:type="dxa"/>
            </w:tcMar>
            <w:vAlign w:val="center"/>
          </w:tcPr>
          <w:p w14:paraId="372FC48C" w14:textId="77777777" w:rsidR="00DE3C3C" w:rsidRDefault="003C7DFB" w:rsidP="00535231">
            <w:pPr>
              <w:spacing w:after="0" w:line="240" w:lineRule="auto"/>
              <w:jc w:val="center"/>
              <w:rPr>
                <w:sz w:val="18"/>
                <w:szCs w:val="18"/>
              </w:rPr>
            </w:pPr>
            <w:r>
              <w:rPr>
                <w:sz w:val="18"/>
                <w:szCs w:val="18"/>
              </w:rPr>
              <w:t>Αιολική ενέργεια (χαρταετοί, ιστία, πτέρυγες)</w:t>
            </w:r>
          </w:p>
        </w:tc>
        <w:tc>
          <w:tcPr>
            <w:tcW w:w="2340" w:type="dxa"/>
            <w:tcMar>
              <w:top w:w="60" w:type="dxa"/>
              <w:left w:w="100" w:type="dxa"/>
              <w:bottom w:w="60" w:type="dxa"/>
              <w:right w:w="100" w:type="dxa"/>
            </w:tcMar>
            <w:vAlign w:val="center"/>
          </w:tcPr>
          <w:p w14:paraId="3E93EF26" w14:textId="77777777" w:rsidR="00DE3C3C" w:rsidRDefault="003C7DFB" w:rsidP="00535231">
            <w:pPr>
              <w:spacing w:after="0" w:line="240" w:lineRule="auto"/>
              <w:jc w:val="center"/>
              <w:rPr>
                <w:sz w:val="18"/>
                <w:szCs w:val="18"/>
              </w:rPr>
            </w:pPr>
            <w:r>
              <w:rPr>
                <w:sz w:val="18"/>
                <w:szCs w:val="18"/>
              </w:rPr>
              <w:t>1–50%</w:t>
            </w:r>
          </w:p>
        </w:tc>
      </w:tr>
      <w:tr w:rsidR="00DE3C3C" w14:paraId="6F3E579F" w14:textId="77777777">
        <w:trPr>
          <w:cantSplit/>
          <w:jc w:val="center"/>
        </w:trPr>
        <w:tc>
          <w:tcPr>
            <w:tcW w:w="2300" w:type="dxa"/>
            <w:tcMar>
              <w:top w:w="60" w:type="dxa"/>
              <w:left w:w="100" w:type="dxa"/>
              <w:bottom w:w="60" w:type="dxa"/>
              <w:right w:w="100" w:type="dxa"/>
            </w:tcMar>
            <w:vAlign w:val="center"/>
          </w:tcPr>
          <w:p w14:paraId="5B3D7BB3" w14:textId="77777777" w:rsidR="00DE3C3C" w:rsidRDefault="003C7DFB" w:rsidP="00535231">
            <w:pPr>
              <w:spacing w:after="0" w:line="240" w:lineRule="auto"/>
              <w:jc w:val="center"/>
              <w:rPr>
                <w:sz w:val="18"/>
                <w:szCs w:val="18"/>
              </w:rPr>
            </w:pPr>
            <w:r>
              <w:rPr>
                <w:sz w:val="18"/>
                <w:szCs w:val="18"/>
              </w:rPr>
              <w:t>Εναλλακτική ενέργεια</w:t>
            </w:r>
          </w:p>
        </w:tc>
        <w:tc>
          <w:tcPr>
            <w:tcW w:w="4000" w:type="dxa"/>
            <w:tcMar>
              <w:top w:w="60" w:type="dxa"/>
              <w:left w:w="100" w:type="dxa"/>
              <w:bottom w:w="60" w:type="dxa"/>
              <w:right w:w="100" w:type="dxa"/>
            </w:tcMar>
            <w:vAlign w:val="center"/>
          </w:tcPr>
          <w:p w14:paraId="60BF69F4" w14:textId="77777777" w:rsidR="00DE3C3C" w:rsidRDefault="003C7DFB" w:rsidP="00535231">
            <w:pPr>
              <w:spacing w:after="0" w:line="240" w:lineRule="auto"/>
              <w:jc w:val="center"/>
              <w:rPr>
                <w:sz w:val="18"/>
                <w:szCs w:val="18"/>
              </w:rPr>
            </w:pPr>
            <w:r>
              <w:rPr>
                <w:sz w:val="18"/>
                <w:szCs w:val="18"/>
              </w:rPr>
              <w:t>Ηλιακή ενέργεια</w:t>
            </w:r>
          </w:p>
        </w:tc>
        <w:tc>
          <w:tcPr>
            <w:tcW w:w="2340" w:type="dxa"/>
            <w:tcMar>
              <w:top w:w="60" w:type="dxa"/>
              <w:left w:w="100" w:type="dxa"/>
              <w:bottom w:w="60" w:type="dxa"/>
              <w:right w:w="100" w:type="dxa"/>
            </w:tcMar>
            <w:vAlign w:val="center"/>
          </w:tcPr>
          <w:p w14:paraId="2A508D02" w14:textId="33FA724F" w:rsidR="00DE3C3C" w:rsidRDefault="003C7DFB" w:rsidP="00535231">
            <w:pPr>
              <w:spacing w:after="0" w:line="240" w:lineRule="auto"/>
              <w:jc w:val="center"/>
              <w:rPr>
                <w:sz w:val="18"/>
                <w:szCs w:val="18"/>
              </w:rPr>
            </w:pPr>
            <w:r>
              <w:rPr>
                <w:sz w:val="18"/>
                <w:szCs w:val="18"/>
              </w:rPr>
              <w:t>0</w:t>
            </w:r>
            <w:r w:rsidR="00027B6A">
              <w:rPr>
                <w:sz w:val="18"/>
                <w:szCs w:val="18"/>
              </w:rPr>
              <w:t>,</w:t>
            </w:r>
            <w:r>
              <w:rPr>
                <w:sz w:val="18"/>
                <w:szCs w:val="18"/>
              </w:rPr>
              <w:t>2–12%</w:t>
            </w:r>
          </w:p>
        </w:tc>
      </w:tr>
      <w:tr w:rsidR="00DE3C3C" w14:paraId="1EBA7DF7" w14:textId="77777777">
        <w:trPr>
          <w:cantSplit/>
          <w:jc w:val="center"/>
        </w:trPr>
        <w:tc>
          <w:tcPr>
            <w:tcW w:w="2300" w:type="dxa"/>
            <w:tcMar>
              <w:top w:w="60" w:type="dxa"/>
              <w:left w:w="100" w:type="dxa"/>
              <w:bottom w:w="60" w:type="dxa"/>
              <w:right w:w="100" w:type="dxa"/>
            </w:tcMar>
            <w:vAlign w:val="center"/>
          </w:tcPr>
          <w:p w14:paraId="45B45D0E" w14:textId="77777777" w:rsidR="00DE3C3C" w:rsidRDefault="003C7DFB" w:rsidP="00535231">
            <w:pPr>
              <w:spacing w:after="0" w:line="240" w:lineRule="auto"/>
              <w:jc w:val="center"/>
              <w:rPr>
                <w:sz w:val="18"/>
                <w:szCs w:val="18"/>
              </w:rPr>
            </w:pPr>
            <w:r>
              <w:rPr>
                <w:sz w:val="18"/>
                <w:szCs w:val="18"/>
              </w:rPr>
              <w:t>Λειτουργία</w:t>
            </w:r>
          </w:p>
        </w:tc>
        <w:tc>
          <w:tcPr>
            <w:tcW w:w="4000" w:type="dxa"/>
            <w:tcMar>
              <w:top w:w="60" w:type="dxa"/>
              <w:left w:w="100" w:type="dxa"/>
              <w:bottom w:w="60" w:type="dxa"/>
              <w:right w:w="100" w:type="dxa"/>
            </w:tcMar>
            <w:vAlign w:val="center"/>
          </w:tcPr>
          <w:p w14:paraId="3362CA50" w14:textId="77777777" w:rsidR="00DE3C3C" w:rsidRDefault="003C7DFB" w:rsidP="00535231">
            <w:pPr>
              <w:spacing w:after="0" w:line="240" w:lineRule="auto"/>
              <w:jc w:val="center"/>
              <w:rPr>
                <w:sz w:val="18"/>
                <w:szCs w:val="18"/>
              </w:rPr>
            </w:pPr>
            <w:r>
              <w:rPr>
                <w:sz w:val="18"/>
                <w:szCs w:val="18"/>
              </w:rPr>
              <w:t>Μείωση ταχύτητας</w:t>
            </w:r>
          </w:p>
        </w:tc>
        <w:tc>
          <w:tcPr>
            <w:tcW w:w="2340" w:type="dxa"/>
            <w:tcMar>
              <w:top w:w="60" w:type="dxa"/>
              <w:left w:w="100" w:type="dxa"/>
              <w:bottom w:w="60" w:type="dxa"/>
              <w:right w:w="100" w:type="dxa"/>
            </w:tcMar>
            <w:vAlign w:val="center"/>
          </w:tcPr>
          <w:p w14:paraId="6FF82BF0" w14:textId="77777777" w:rsidR="00DE3C3C" w:rsidRDefault="003C7DFB" w:rsidP="00535231">
            <w:pPr>
              <w:spacing w:after="0" w:line="240" w:lineRule="auto"/>
              <w:jc w:val="center"/>
              <w:rPr>
                <w:sz w:val="18"/>
                <w:szCs w:val="18"/>
              </w:rPr>
            </w:pPr>
            <w:r>
              <w:rPr>
                <w:sz w:val="18"/>
                <w:szCs w:val="18"/>
              </w:rPr>
              <w:t>1–60%</w:t>
            </w:r>
          </w:p>
        </w:tc>
      </w:tr>
      <w:tr w:rsidR="00DE3C3C" w14:paraId="3A256053" w14:textId="77777777">
        <w:trPr>
          <w:cantSplit/>
          <w:jc w:val="center"/>
        </w:trPr>
        <w:tc>
          <w:tcPr>
            <w:tcW w:w="2300" w:type="dxa"/>
            <w:tcMar>
              <w:top w:w="60" w:type="dxa"/>
              <w:left w:w="100" w:type="dxa"/>
              <w:bottom w:w="60" w:type="dxa"/>
              <w:right w:w="100" w:type="dxa"/>
            </w:tcMar>
            <w:vAlign w:val="center"/>
          </w:tcPr>
          <w:p w14:paraId="737F363B" w14:textId="77777777" w:rsidR="00DE3C3C" w:rsidRDefault="003C7DFB" w:rsidP="00535231">
            <w:pPr>
              <w:spacing w:after="0" w:line="240" w:lineRule="auto"/>
              <w:jc w:val="center"/>
              <w:rPr>
                <w:sz w:val="18"/>
                <w:szCs w:val="18"/>
              </w:rPr>
            </w:pPr>
            <w:r>
              <w:rPr>
                <w:sz w:val="18"/>
                <w:szCs w:val="18"/>
              </w:rPr>
              <w:t>Λειτουργία</w:t>
            </w:r>
          </w:p>
        </w:tc>
        <w:tc>
          <w:tcPr>
            <w:tcW w:w="4000" w:type="dxa"/>
            <w:tcMar>
              <w:top w:w="60" w:type="dxa"/>
              <w:left w:w="100" w:type="dxa"/>
              <w:bottom w:w="60" w:type="dxa"/>
              <w:right w:w="100" w:type="dxa"/>
            </w:tcMar>
            <w:vAlign w:val="center"/>
          </w:tcPr>
          <w:p w14:paraId="72507CE7" w14:textId="77777777" w:rsidR="00DE3C3C" w:rsidRDefault="003C7DFB" w:rsidP="00535231">
            <w:pPr>
              <w:spacing w:after="0" w:line="240" w:lineRule="auto"/>
              <w:jc w:val="center"/>
              <w:rPr>
                <w:sz w:val="18"/>
                <w:szCs w:val="18"/>
              </w:rPr>
            </w:pPr>
            <w:r>
              <w:rPr>
                <w:sz w:val="18"/>
                <w:szCs w:val="18"/>
              </w:rPr>
              <w:t>Βελτιστοποίηση ταξιδιού (συμπεριλαμβανομένης της δρομολόγησης με βάση τον καιρό)</w:t>
            </w:r>
          </w:p>
        </w:tc>
        <w:tc>
          <w:tcPr>
            <w:tcW w:w="2340" w:type="dxa"/>
            <w:tcMar>
              <w:top w:w="60" w:type="dxa"/>
              <w:left w:w="100" w:type="dxa"/>
              <w:bottom w:w="60" w:type="dxa"/>
              <w:right w:w="100" w:type="dxa"/>
            </w:tcMar>
            <w:vAlign w:val="center"/>
          </w:tcPr>
          <w:p w14:paraId="14D49358" w14:textId="60015D92" w:rsidR="00DE3C3C" w:rsidRDefault="003C7DFB" w:rsidP="00535231">
            <w:pPr>
              <w:spacing w:after="0" w:line="240" w:lineRule="auto"/>
              <w:jc w:val="center"/>
              <w:rPr>
                <w:sz w:val="18"/>
                <w:szCs w:val="18"/>
              </w:rPr>
            </w:pPr>
            <w:r>
              <w:rPr>
                <w:sz w:val="18"/>
                <w:szCs w:val="18"/>
              </w:rPr>
              <w:t>0</w:t>
            </w:r>
            <w:r w:rsidR="00027B6A">
              <w:rPr>
                <w:sz w:val="18"/>
                <w:szCs w:val="18"/>
              </w:rPr>
              <w:t>,</w:t>
            </w:r>
            <w:r>
              <w:rPr>
                <w:sz w:val="18"/>
                <w:szCs w:val="18"/>
              </w:rPr>
              <w:t>1–48%</w:t>
            </w:r>
          </w:p>
        </w:tc>
      </w:tr>
      <w:tr w:rsidR="00DE3C3C" w14:paraId="606F9B83" w14:textId="77777777">
        <w:trPr>
          <w:cantSplit/>
          <w:jc w:val="center"/>
        </w:trPr>
        <w:tc>
          <w:tcPr>
            <w:tcW w:w="2300" w:type="dxa"/>
            <w:tcMar>
              <w:top w:w="60" w:type="dxa"/>
              <w:left w:w="100" w:type="dxa"/>
              <w:bottom w:w="60" w:type="dxa"/>
              <w:right w:w="100" w:type="dxa"/>
            </w:tcMar>
            <w:vAlign w:val="center"/>
          </w:tcPr>
          <w:p w14:paraId="46ED2353" w14:textId="77777777" w:rsidR="00DE3C3C" w:rsidRDefault="003C7DFB" w:rsidP="00535231">
            <w:pPr>
              <w:spacing w:after="0" w:line="240" w:lineRule="auto"/>
              <w:jc w:val="center"/>
              <w:rPr>
                <w:sz w:val="18"/>
                <w:szCs w:val="18"/>
              </w:rPr>
            </w:pPr>
            <w:r>
              <w:rPr>
                <w:sz w:val="18"/>
                <w:szCs w:val="18"/>
              </w:rPr>
              <w:lastRenderedPageBreak/>
              <w:t>Ισχύς και πρόωση</w:t>
            </w:r>
          </w:p>
        </w:tc>
        <w:tc>
          <w:tcPr>
            <w:tcW w:w="4000" w:type="dxa"/>
            <w:tcMar>
              <w:top w:w="60" w:type="dxa"/>
              <w:left w:w="100" w:type="dxa"/>
              <w:bottom w:w="60" w:type="dxa"/>
              <w:right w:w="100" w:type="dxa"/>
            </w:tcMar>
            <w:vAlign w:val="center"/>
          </w:tcPr>
          <w:p w14:paraId="1270F275" w14:textId="77777777" w:rsidR="00DE3C3C" w:rsidRDefault="003C7DFB" w:rsidP="00535231">
            <w:pPr>
              <w:spacing w:after="0" w:line="240" w:lineRule="auto"/>
              <w:jc w:val="center"/>
              <w:rPr>
                <w:sz w:val="18"/>
                <w:szCs w:val="18"/>
              </w:rPr>
            </w:pPr>
            <w:r>
              <w:rPr>
                <w:sz w:val="18"/>
                <w:szCs w:val="18"/>
              </w:rPr>
              <w:t>Υβριδική ισχύς και πρόωση</w:t>
            </w:r>
          </w:p>
        </w:tc>
        <w:tc>
          <w:tcPr>
            <w:tcW w:w="2340" w:type="dxa"/>
            <w:tcMar>
              <w:top w:w="60" w:type="dxa"/>
              <w:left w:w="100" w:type="dxa"/>
              <w:bottom w:w="60" w:type="dxa"/>
              <w:right w:w="100" w:type="dxa"/>
            </w:tcMar>
            <w:vAlign w:val="center"/>
          </w:tcPr>
          <w:p w14:paraId="12123B0A" w14:textId="77777777" w:rsidR="00DE3C3C" w:rsidRDefault="003C7DFB" w:rsidP="00535231">
            <w:pPr>
              <w:spacing w:after="0" w:line="240" w:lineRule="auto"/>
              <w:jc w:val="center"/>
              <w:rPr>
                <w:sz w:val="18"/>
                <w:szCs w:val="18"/>
              </w:rPr>
            </w:pPr>
            <w:r>
              <w:rPr>
                <w:sz w:val="18"/>
                <w:szCs w:val="18"/>
              </w:rPr>
              <w:t>2–45%</w:t>
            </w:r>
          </w:p>
        </w:tc>
      </w:tr>
      <w:tr w:rsidR="00DE3C3C" w14:paraId="6FE6E315" w14:textId="77777777">
        <w:trPr>
          <w:cantSplit/>
          <w:jc w:val="center"/>
        </w:trPr>
        <w:tc>
          <w:tcPr>
            <w:tcW w:w="2300" w:type="dxa"/>
            <w:tcMar>
              <w:top w:w="60" w:type="dxa"/>
              <w:left w:w="100" w:type="dxa"/>
              <w:bottom w:w="60" w:type="dxa"/>
              <w:right w:w="100" w:type="dxa"/>
            </w:tcMar>
            <w:vAlign w:val="center"/>
          </w:tcPr>
          <w:p w14:paraId="34ADE93A" w14:textId="77777777" w:rsidR="00DE3C3C" w:rsidRDefault="003C7DFB" w:rsidP="00535231">
            <w:pPr>
              <w:spacing w:after="0" w:line="240" w:lineRule="auto"/>
              <w:jc w:val="center"/>
              <w:rPr>
                <w:sz w:val="18"/>
                <w:szCs w:val="18"/>
              </w:rPr>
            </w:pPr>
            <w:r>
              <w:rPr>
                <w:sz w:val="18"/>
                <w:szCs w:val="18"/>
              </w:rPr>
              <w:t>Ισχύς και πρόωση</w:t>
            </w:r>
          </w:p>
        </w:tc>
        <w:tc>
          <w:tcPr>
            <w:tcW w:w="4000" w:type="dxa"/>
            <w:tcMar>
              <w:top w:w="60" w:type="dxa"/>
              <w:left w:w="100" w:type="dxa"/>
              <w:bottom w:w="60" w:type="dxa"/>
              <w:right w:w="100" w:type="dxa"/>
            </w:tcMar>
            <w:vAlign w:val="center"/>
          </w:tcPr>
          <w:p w14:paraId="0ED91A7C" w14:textId="77777777" w:rsidR="00DE3C3C" w:rsidRDefault="003C7DFB" w:rsidP="00535231">
            <w:pPr>
              <w:spacing w:after="0" w:line="240" w:lineRule="auto"/>
              <w:jc w:val="center"/>
              <w:rPr>
                <w:sz w:val="18"/>
                <w:szCs w:val="18"/>
              </w:rPr>
            </w:pPr>
            <w:r>
              <w:rPr>
                <w:sz w:val="18"/>
                <w:szCs w:val="18"/>
              </w:rPr>
              <w:t xml:space="preserve">Ανάκτηση </w:t>
            </w:r>
            <w:proofErr w:type="spellStart"/>
            <w:r>
              <w:rPr>
                <w:sz w:val="18"/>
                <w:szCs w:val="18"/>
              </w:rPr>
              <w:t>απορριπτόμενης</w:t>
            </w:r>
            <w:proofErr w:type="spellEnd"/>
            <w:r>
              <w:rPr>
                <w:sz w:val="18"/>
                <w:szCs w:val="18"/>
              </w:rPr>
              <w:t xml:space="preserve"> θερμότητας</w:t>
            </w:r>
          </w:p>
        </w:tc>
        <w:tc>
          <w:tcPr>
            <w:tcW w:w="2340" w:type="dxa"/>
            <w:tcMar>
              <w:top w:w="60" w:type="dxa"/>
              <w:left w:w="100" w:type="dxa"/>
              <w:bottom w:w="60" w:type="dxa"/>
              <w:right w:w="100" w:type="dxa"/>
            </w:tcMar>
            <w:vAlign w:val="center"/>
          </w:tcPr>
          <w:p w14:paraId="39D9B44E" w14:textId="77777777" w:rsidR="00DE3C3C" w:rsidRDefault="003C7DFB" w:rsidP="00535231">
            <w:pPr>
              <w:spacing w:after="0" w:line="240" w:lineRule="auto"/>
              <w:jc w:val="center"/>
              <w:rPr>
                <w:sz w:val="18"/>
                <w:szCs w:val="18"/>
              </w:rPr>
            </w:pPr>
            <w:r>
              <w:rPr>
                <w:sz w:val="18"/>
                <w:szCs w:val="18"/>
              </w:rPr>
              <w:t>1–20%</w:t>
            </w:r>
          </w:p>
        </w:tc>
      </w:tr>
      <w:tr w:rsidR="00DE3C3C" w14:paraId="01612D9C" w14:textId="77777777">
        <w:trPr>
          <w:cantSplit/>
          <w:jc w:val="center"/>
        </w:trPr>
        <w:tc>
          <w:tcPr>
            <w:tcW w:w="2300" w:type="dxa"/>
            <w:tcMar>
              <w:top w:w="60" w:type="dxa"/>
              <w:left w:w="100" w:type="dxa"/>
              <w:bottom w:w="60" w:type="dxa"/>
              <w:right w:w="100" w:type="dxa"/>
            </w:tcMar>
            <w:vAlign w:val="center"/>
          </w:tcPr>
          <w:p w14:paraId="07A2992A" w14:textId="77777777" w:rsidR="00DE3C3C" w:rsidRDefault="003C7DFB" w:rsidP="00535231">
            <w:pPr>
              <w:spacing w:after="0" w:line="240" w:lineRule="auto"/>
              <w:jc w:val="center"/>
              <w:rPr>
                <w:sz w:val="18"/>
                <w:szCs w:val="18"/>
              </w:rPr>
            </w:pPr>
            <w:r>
              <w:rPr>
                <w:sz w:val="18"/>
                <w:szCs w:val="18"/>
              </w:rPr>
              <w:t>Σχεδιασμός γάστρας</w:t>
            </w:r>
          </w:p>
        </w:tc>
        <w:tc>
          <w:tcPr>
            <w:tcW w:w="4000" w:type="dxa"/>
            <w:tcMar>
              <w:top w:w="60" w:type="dxa"/>
              <w:left w:w="100" w:type="dxa"/>
              <w:bottom w:w="60" w:type="dxa"/>
              <w:right w:w="100" w:type="dxa"/>
            </w:tcMar>
            <w:vAlign w:val="center"/>
          </w:tcPr>
          <w:p w14:paraId="03DA8F8B" w14:textId="77777777" w:rsidR="00DE3C3C" w:rsidRPr="00E62BD7" w:rsidRDefault="003C7DFB" w:rsidP="00535231">
            <w:pPr>
              <w:spacing w:after="0" w:line="240" w:lineRule="auto"/>
              <w:jc w:val="center"/>
              <w:rPr>
                <w:sz w:val="18"/>
                <w:szCs w:val="18"/>
                <w:lang w:val="en-GB"/>
              </w:rPr>
            </w:pPr>
            <w:r>
              <w:rPr>
                <w:sz w:val="18"/>
                <w:szCs w:val="18"/>
              </w:rPr>
              <w:t>Λίπανση</w:t>
            </w:r>
            <w:r w:rsidRPr="00E62BD7">
              <w:rPr>
                <w:sz w:val="18"/>
                <w:szCs w:val="18"/>
                <w:lang w:val="en-GB"/>
              </w:rPr>
              <w:t xml:space="preserve"> </w:t>
            </w:r>
            <w:r>
              <w:rPr>
                <w:sz w:val="18"/>
                <w:szCs w:val="18"/>
              </w:rPr>
              <w:t>με</w:t>
            </w:r>
            <w:r w:rsidRPr="00E62BD7">
              <w:rPr>
                <w:sz w:val="18"/>
                <w:szCs w:val="18"/>
                <w:lang w:val="en-GB"/>
              </w:rPr>
              <w:t xml:space="preserve"> </w:t>
            </w:r>
            <w:r>
              <w:rPr>
                <w:sz w:val="18"/>
                <w:szCs w:val="18"/>
              </w:rPr>
              <w:t>αέρα</w:t>
            </w:r>
            <w:r w:rsidRPr="00E62BD7">
              <w:rPr>
                <w:sz w:val="18"/>
                <w:szCs w:val="18"/>
                <w:lang w:val="en-GB"/>
              </w:rPr>
              <w:t xml:space="preserve"> (air lubrication)</w:t>
            </w:r>
          </w:p>
        </w:tc>
        <w:tc>
          <w:tcPr>
            <w:tcW w:w="2340" w:type="dxa"/>
            <w:tcMar>
              <w:top w:w="60" w:type="dxa"/>
              <w:left w:w="100" w:type="dxa"/>
              <w:bottom w:w="60" w:type="dxa"/>
              <w:right w:w="100" w:type="dxa"/>
            </w:tcMar>
            <w:vAlign w:val="center"/>
          </w:tcPr>
          <w:p w14:paraId="72C16C35" w14:textId="77777777" w:rsidR="00DE3C3C" w:rsidRDefault="003C7DFB" w:rsidP="00535231">
            <w:pPr>
              <w:spacing w:after="0" w:line="240" w:lineRule="auto"/>
              <w:jc w:val="center"/>
              <w:rPr>
                <w:sz w:val="18"/>
                <w:szCs w:val="18"/>
              </w:rPr>
            </w:pPr>
            <w:r>
              <w:rPr>
                <w:sz w:val="18"/>
                <w:szCs w:val="18"/>
              </w:rPr>
              <w:t>1–15%</w:t>
            </w:r>
          </w:p>
        </w:tc>
      </w:tr>
      <w:tr w:rsidR="00DE3C3C" w14:paraId="4D5BB958" w14:textId="77777777">
        <w:trPr>
          <w:cantSplit/>
          <w:jc w:val="center"/>
        </w:trPr>
        <w:tc>
          <w:tcPr>
            <w:tcW w:w="2300" w:type="dxa"/>
            <w:tcMar>
              <w:top w:w="60" w:type="dxa"/>
              <w:left w:w="100" w:type="dxa"/>
              <w:bottom w:w="60" w:type="dxa"/>
              <w:right w:w="100" w:type="dxa"/>
            </w:tcMar>
            <w:vAlign w:val="center"/>
          </w:tcPr>
          <w:p w14:paraId="081F72FF" w14:textId="77777777" w:rsidR="00DE3C3C" w:rsidRDefault="003C7DFB" w:rsidP="00535231">
            <w:pPr>
              <w:spacing w:after="0" w:line="240" w:lineRule="auto"/>
              <w:jc w:val="center"/>
              <w:rPr>
                <w:sz w:val="18"/>
                <w:szCs w:val="18"/>
              </w:rPr>
            </w:pPr>
            <w:r>
              <w:rPr>
                <w:sz w:val="18"/>
                <w:szCs w:val="18"/>
              </w:rPr>
              <w:t>Σχεδιασμός γάστρας</w:t>
            </w:r>
          </w:p>
        </w:tc>
        <w:tc>
          <w:tcPr>
            <w:tcW w:w="4000" w:type="dxa"/>
            <w:tcMar>
              <w:top w:w="60" w:type="dxa"/>
              <w:left w:w="100" w:type="dxa"/>
              <w:bottom w:w="60" w:type="dxa"/>
              <w:right w:w="100" w:type="dxa"/>
            </w:tcMar>
            <w:vAlign w:val="center"/>
          </w:tcPr>
          <w:p w14:paraId="398B5264" w14:textId="77777777" w:rsidR="00DE3C3C" w:rsidRDefault="003C7DFB" w:rsidP="00535231">
            <w:pPr>
              <w:spacing w:after="0" w:line="240" w:lineRule="auto"/>
              <w:jc w:val="center"/>
              <w:rPr>
                <w:sz w:val="18"/>
                <w:szCs w:val="18"/>
              </w:rPr>
            </w:pPr>
            <w:r>
              <w:rPr>
                <w:sz w:val="18"/>
                <w:szCs w:val="18"/>
              </w:rPr>
              <w:t>Επικάλυψη γάστρας</w:t>
            </w:r>
          </w:p>
        </w:tc>
        <w:tc>
          <w:tcPr>
            <w:tcW w:w="2340" w:type="dxa"/>
            <w:tcMar>
              <w:top w:w="60" w:type="dxa"/>
              <w:left w:w="100" w:type="dxa"/>
              <w:bottom w:w="60" w:type="dxa"/>
              <w:right w:w="100" w:type="dxa"/>
            </w:tcMar>
            <w:vAlign w:val="center"/>
          </w:tcPr>
          <w:p w14:paraId="30E49CAF" w14:textId="77777777" w:rsidR="00DE3C3C" w:rsidRDefault="003C7DFB" w:rsidP="00535231">
            <w:pPr>
              <w:spacing w:after="0" w:line="240" w:lineRule="auto"/>
              <w:jc w:val="center"/>
              <w:rPr>
                <w:sz w:val="18"/>
                <w:szCs w:val="18"/>
              </w:rPr>
            </w:pPr>
            <w:r>
              <w:rPr>
                <w:sz w:val="18"/>
                <w:szCs w:val="18"/>
              </w:rPr>
              <w:t>1–10%</w:t>
            </w:r>
          </w:p>
        </w:tc>
      </w:tr>
      <w:tr w:rsidR="00DE3C3C" w14:paraId="2B9B155A" w14:textId="77777777">
        <w:trPr>
          <w:cantSplit/>
          <w:jc w:val="center"/>
        </w:trPr>
        <w:tc>
          <w:tcPr>
            <w:tcW w:w="2300" w:type="dxa"/>
            <w:tcMar>
              <w:top w:w="60" w:type="dxa"/>
              <w:left w:w="100" w:type="dxa"/>
              <w:bottom w:w="60" w:type="dxa"/>
              <w:right w:w="100" w:type="dxa"/>
            </w:tcMar>
            <w:vAlign w:val="center"/>
          </w:tcPr>
          <w:p w14:paraId="52E241A7" w14:textId="77777777" w:rsidR="00DE3C3C" w:rsidRDefault="003C7DFB" w:rsidP="00535231">
            <w:pPr>
              <w:spacing w:after="0" w:line="240" w:lineRule="auto"/>
              <w:jc w:val="center"/>
              <w:rPr>
                <w:sz w:val="18"/>
                <w:szCs w:val="18"/>
              </w:rPr>
            </w:pPr>
            <w:r>
              <w:rPr>
                <w:sz w:val="18"/>
                <w:szCs w:val="18"/>
              </w:rPr>
              <w:t>Εναλλακτικά καύσιμα</w:t>
            </w:r>
          </w:p>
        </w:tc>
        <w:tc>
          <w:tcPr>
            <w:tcW w:w="4000" w:type="dxa"/>
            <w:tcMar>
              <w:top w:w="60" w:type="dxa"/>
              <w:left w:w="100" w:type="dxa"/>
              <w:bottom w:w="60" w:type="dxa"/>
              <w:right w:w="100" w:type="dxa"/>
            </w:tcMar>
            <w:vAlign w:val="center"/>
          </w:tcPr>
          <w:p w14:paraId="4CFD97F5" w14:textId="77777777" w:rsidR="00DE3C3C" w:rsidRDefault="003C7DFB" w:rsidP="00535231">
            <w:pPr>
              <w:spacing w:after="0" w:line="240" w:lineRule="auto"/>
              <w:jc w:val="center"/>
              <w:rPr>
                <w:sz w:val="18"/>
                <w:szCs w:val="18"/>
              </w:rPr>
            </w:pPr>
            <w:r>
              <w:rPr>
                <w:sz w:val="18"/>
                <w:szCs w:val="18"/>
              </w:rPr>
              <w:t>LNG</w:t>
            </w:r>
          </w:p>
        </w:tc>
        <w:tc>
          <w:tcPr>
            <w:tcW w:w="2340" w:type="dxa"/>
            <w:tcMar>
              <w:top w:w="60" w:type="dxa"/>
              <w:left w:w="100" w:type="dxa"/>
              <w:bottom w:w="60" w:type="dxa"/>
              <w:right w:w="100" w:type="dxa"/>
            </w:tcMar>
            <w:vAlign w:val="center"/>
          </w:tcPr>
          <w:p w14:paraId="37BB683F" w14:textId="77777777" w:rsidR="00DE3C3C" w:rsidRDefault="003C7DFB" w:rsidP="00535231">
            <w:pPr>
              <w:spacing w:after="0" w:line="240" w:lineRule="auto"/>
              <w:jc w:val="center"/>
              <w:rPr>
                <w:sz w:val="18"/>
                <w:szCs w:val="18"/>
              </w:rPr>
            </w:pPr>
            <w:r>
              <w:rPr>
                <w:sz w:val="18"/>
                <w:szCs w:val="18"/>
              </w:rPr>
              <w:t>5–30%</w:t>
            </w:r>
          </w:p>
        </w:tc>
      </w:tr>
      <w:tr w:rsidR="00DE3C3C" w14:paraId="2AB4E077" w14:textId="77777777">
        <w:trPr>
          <w:cantSplit/>
          <w:jc w:val="center"/>
        </w:trPr>
        <w:tc>
          <w:tcPr>
            <w:tcW w:w="2300" w:type="dxa"/>
            <w:tcMar>
              <w:top w:w="60" w:type="dxa"/>
              <w:left w:w="100" w:type="dxa"/>
              <w:bottom w:w="60" w:type="dxa"/>
              <w:right w:w="100" w:type="dxa"/>
            </w:tcMar>
            <w:vAlign w:val="center"/>
          </w:tcPr>
          <w:p w14:paraId="778ED6B6" w14:textId="77777777" w:rsidR="00DE3C3C" w:rsidRDefault="003C7DFB" w:rsidP="00535231">
            <w:pPr>
              <w:spacing w:after="0" w:line="240" w:lineRule="auto"/>
              <w:jc w:val="center"/>
              <w:rPr>
                <w:sz w:val="18"/>
                <w:szCs w:val="18"/>
              </w:rPr>
            </w:pPr>
            <w:r>
              <w:rPr>
                <w:sz w:val="18"/>
                <w:szCs w:val="18"/>
              </w:rPr>
              <w:t>Εναλλακτικά καύσιμα</w:t>
            </w:r>
          </w:p>
        </w:tc>
        <w:tc>
          <w:tcPr>
            <w:tcW w:w="4000" w:type="dxa"/>
            <w:tcMar>
              <w:top w:w="60" w:type="dxa"/>
              <w:left w:w="100" w:type="dxa"/>
              <w:bottom w:w="60" w:type="dxa"/>
              <w:right w:w="100" w:type="dxa"/>
            </w:tcMar>
            <w:vAlign w:val="center"/>
          </w:tcPr>
          <w:p w14:paraId="3DD00D16" w14:textId="77777777" w:rsidR="00DE3C3C" w:rsidRDefault="003C7DFB" w:rsidP="00535231">
            <w:pPr>
              <w:spacing w:after="0" w:line="240" w:lineRule="auto"/>
              <w:jc w:val="center"/>
              <w:rPr>
                <w:sz w:val="18"/>
                <w:szCs w:val="18"/>
              </w:rPr>
            </w:pPr>
            <w:proofErr w:type="spellStart"/>
            <w:r>
              <w:rPr>
                <w:sz w:val="18"/>
                <w:szCs w:val="18"/>
              </w:rPr>
              <w:t>Βιοκαύσιμα</w:t>
            </w:r>
            <w:proofErr w:type="spellEnd"/>
          </w:p>
        </w:tc>
        <w:tc>
          <w:tcPr>
            <w:tcW w:w="2340" w:type="dxa"/>
            <w:tcMar>
              <w:top w:w="60" w:type="dxa"/>
              <w:left w:w="100" w:type="dxa"/>
              <w:bottom w:w="60" w:type="dxa"/>
              <w:right w:w="100" w:type="dxa"/>
            </w:tcMar>
            <w:vAlign w:val="center"/>
          </w:tcPr>
          <w:p w14:paraId="7192E054" w14:textId="77777777" w:rsidR="00DE3C3C" w:rsidRDefault="003C7DFB" w:rsidP="00535231">
            <w:pPr>
              <w:spacing w:after="0" w:line="240" w:lineRule="auto"/>
              <w:jc w:val="center"/>
              <w:rPr>
                <w:sz w:val="18"/>
                <w:szCs w:val="18"/>
              </w:rPr>
            </w:pPr>
            <w:r>
              <w:rPr>
                <w:sz w:val="18"/>
                <w:szCs w:val="18"/>
              </w:rPr>
              <w:t>25–84%</w:t>
            </w:r>
          </w:p>
        </w:tc>
      </w:tr>
    </w:tbl>
    <w:p w14:paraId="78140912" w14:textId="70CFD687" w:rsidR="00DE3C3C" w:rsidRDefault="003C7DFB">
      <w:pPr>
        <w:spacing w:before="60" w:after="200" w:line="240" w:lineRule="auto"/>
        <w:jc w:val="both"/>
      </w:pPr>
      <w:r>
        <w:rPr>
          <w:i/>
          <w:iCs/>
          <w:sz w:val="18"/>
          <w:szCs w:val="18"/>
        </w:rPr>
        <w:t>Πηγή</w:t>
      </w:r>
      <w:r>
        <w:rPr>
          <w:i/>
          <w:iCs/>
          <w:sz w:val="18"/>
          <w:szCs w:val="18"/>
          <w:lang w:val="en-GB"/>
        </w:rPr>
        <w:t>: Bouman et al. [</w:t>
      </w:r>
      <w:r>
        <w:rPr>
          <w:i/>
          <w:iCs/>
          <w:sz w:val="18"/>
          <w:szCs w:val="18"/>
          <w:lang w:val="en-GB"/>
        </w:rPr>
        <w:fldChar w:fldCharType="begin"/>
      </w:r>
      <w:r>
        <w:rPr>
          <w:i/>
          <w:iCs/>
          <w:sz w:val="18"/>
          <w:szCs w:val="18"/>
          <w:lang w:val="en-GB"/>
        </w:rPr>
        <w:instrText xml:space="preserve"> REF _Ref_cit_12 \h \* MERGEFORMAT </w:instrText>
      </w:r>
      <w:r>
        <w:rPr>
          <w:i/>
          <w:iCs/>
          <w:sz w:val="18"/>
          <w:szCs w:val="18"/>
          <w:lang w:val="en-GB"/>
        </w:rPr>
      </w:r>
      <w:r>
        <w:rPr>
          <w:i/>
          <w:iCs/>
          <w:sz w:val="18"/>
          <w:szCs w:val="18"/>
          <w:lang w:val="en-GB"/>
        </w:rPr>
        <w:fldChar w:fldCharType="separate"/>
      </w:r>
      <w:r w:rsidR="00B0043E" w:rsidRPr="00B0043E">
        <w:rPr>
          <w:i/>
          <w:iCs/>
          <w:sz w:val="18"/>
          <w:szCs w:val="18"/>
          <w:lang w:val="en-GB"/>
        </w:rPr>
        <w:t>12</w:t>
      </w:r>
      <w:r>
        <w:rPr>
          <w:i/>
          <w:iCs/>
          <w:sz w:val="18"/>
          <w:szCs w:val="18"/>
          <w:lang w:val="en-GB"/>
        </w:rPr>
        <w:fldChar w:fldCharType="end"/>
      </w:r>
      <w:r>
        <w:rPr>
          <w:i/>
          <w:iCs/>
          <w:sz w:val="18"/>
          <w:szCs w:val="18"/>
          <w:lang w:val="en-GB"/>
        </w:rPr>
        <w:t xml:space="preserve">], </w:t>
      </w:r>
      <w:r>
        <w:rPr>
          <w:i/>
          <w:iCs/>
          <w:sz w:val="18"/>
          <w:szCs w:val="18"/>
        </w:rPr>
        <w:t>Πίνακας</w:t>
      </w:r>
      <w:r w:rsidRPr="00E62BD7">
        <w:rPr>
          <w:i/>
          <w:iCs/>
          <w:sz w:val="18"/>
          <w:szCs w:val="18"/>
          <w:lang w:val="en-GB"/>
        </w:rPr>
        <w:t xml:space="preserve"> 2. </w:t>
      </w:r>
      <w:r>
        <w:rPr>
          <w:i/>
          <w:iCs/>
          <w:sz w:val="18"/>
          <w:szCs w:val="18"/>
        </w:rPr>
        <w:t>Τα εύρη αντανακλούν διαφορές ως προς τον τύπο πλοίου, την κατάσταση αναφοράς και τη μέθοδο μεταξύ των υποκείμενων μελετών και δεν είναι αθροιστικά.</w:t>
      </w:r>
    </w:p>
    <w:p w14:paraId="0F2194E8" w14:textId="77777777" w:rsidR="00DE3C3C" w:rsidRDefault="003C7DFB">
      <w:pPr>
        <w:pStyle w:val="20"/>
      </w:pPr>
      <w:bookmarkStart w:id="141" w:name="_Toc243355312"/>
      <w:r>
        <w:t>Εκπομπές CO₂ από τις θαλάσσιες μεταφορές στην Ευρώπη</w:t>
      </w:r>
      <w:bookmarkEnd w:id="141"/>
    </w:p>
    <w:p w14:paraId="165A4679" w14:textId="77777777" w:rsidR="00DE3C3C" w:rsidRDefault="003C7DFB">
      <w:pPr>
        <w:pStyle w:val="30"/>
      </w:pPr>
      <w:bookmarkStart w:id="142" w:name="_Toc243355313"/>
      <w:r>
        <w:t>Το ευρωπαϊκό πλαίσιο</w:t>
      </w:r>
      <w:bookmarkEnd w:id="142"/>
    </w:p>
    <w:p w14:paraId="204E60A8" w14:textId="0F619C3F" w:rsidR="00DE3C3C" w:rsidRDefault="003C7DFB">
      <w:pPr>
        <w:spacing w:line="360" w:lineRule="auto"/>
        <w:ind w:firstLine="576"/>
        <w:jc w:val="both"/>
      </w:pPr>
      <w:r>
        <w:t>Στην Ευρωπαϊκή Ένωση, οι θαλάσσιες μεταφορές αναφέρεται ότι αντιστοιχούν σε περίπου 3 έως 4% των συνολικών εκπομπών CO₂, ή σε περισσότερους από 124 εκατομμύρια τόνους CO₂ το 2021 [</w:t>
      </w:r>
      <w:r>
        <w:fldChar w:fldCharType="begin"/>
      </w:r>
      <w:r>
        <w:instrText xml:space="preserve"> REF _Ref_cit_51 \h \* MERGEFORMAT </w:instrText>
      </w:r>
      <w:r>
        <w:fldChar w:fldCharType="separate"/>
      </w:r>
      <w:r w:rsidR="00B0043E" w:rsidRPr="00B0043E">
        <w:t>51</w:t>
      </w:r>
      <w:r>
        <w:fldChar w:fldCharType="end"/>
      </w:r>
      <w:r>
        <w:t>], ποσοστό που συμφωνεί σε γενικές γραμμές με το παγκόσμιο μερίδιο του 2</w:t>
      </w:r>
      <w:r w:rsidR="00D12957">
        <w:t>,</w:t>
      </w:r>
      <w:r>
        <w:t>9% περίπου που εκτίμησε η Τέταρτη Μελέτη του IMO για τα Αέρια Θερμοκηπίου [</w:t>
      </w:r>
      <w:r>
        <w:fldChar w:fldCharType="begin"/>
      </w:r>
      <w:r>
        <w:instrText xml:space="preserve"> REF _Ref_cit_60 \h \* MERGEFORMAT </w:instrText>
      </w:r>
      <w:r>
        <w:fldChar w:fldCharType="separate"/>
      </w:r>
      <w:r w:rsidR="00B0043E" w:rsidRPr="00B0043E">
        <w:t>60</w:t>
      </w:r>
      <w:r>
        <w:fldChar w:fldCharType="end"/>
      </w:r>
      <w:r>
        <w:t>] και που συζητήθηκε στην Ενότητα 4.2.2. Αν και πρόκειται για μέτριο μερίδιο του συνόλου, αποτελεί έναν από τους λίγους τομείς των μεταφορών στους οποίους οι εκπομπές συνέχισαν να αυξάνονται τα τελευταία χρόνια, καθώς και τον τομέα για τον οποίο η ΕΕ έχει υιοθετήσει το πληρέστερο σύνολο ειδικών μέτρων στο πλαίσιο της κλιματικής της πολιτικής για το 2030 και το 2050. Τα δεδομένα εκπομπών που υποβάλλονται στην ΕΕ αποτελούν το αντικείμενο της υπόλοιπης ενότητας.</w:t>
      </w:r>
    </w:p>
    <w:p w14:paraId="79DED88E" w14:textId="77777777" w:rsidR="00DE3C3C" w:rsidRDefault="003C7DFB">
      <w:pPr>
        <w:pStyle w:val="30"/>
      </w:pPr>
      <w:bookmarkStart w:id="143" w:name="_Toc243355314"/>
      <w:r>
        <w:t>Εκπομπές που δηλώνονται στο πλαίσιο του συστήματος MRV της ΕΕ</w:t>
      </w:r>
      <w:bookmarkEnd w:id="143"/>
    </w:p>
    <w:p w14:paraId="7526C362" w14:textId="633649FA" w:rsidR="00DE3C3C" w:rsidRDefault="003C7DFB">
      <w:pPr>
        <w:spacing w:line="360" w:lineRule="auto"/>
        <w:ind w:firstLine="576"/>
        <w:jc w:val="both"/>
      </w:pPr>
      <w:r>
        <w:t>Η κύρια πηγή ευρωπαϊκών δεδομένων για τις εκπομπές της ναυτιλίας είναι το σύστημα MRV της ΕΕ, που θεσπίστηκε με τον Κανονισμό (ΕΕ) 2015/757 [</w:t>
      </w:r>
      <w:r>
        <w:fldChar w:fldCharType="begin"/>
      </w:r>
      <w:r>
        <w:instrText xml:space="preserve"> REF _Ref_cit_47 \h \* MERGEFORMAT </w:instrText>
      </w:r>
      <w:r>
        <w:fldChar w:fldCharType="separate"/>
      </w:r>
      <w:r w:rsidR="00B0043E" w:rsidRPr="00B0043E">
        <w:t>47</w:t>
      </w:r>
      <w:r>
        <w:fldChar w:fldCharType="end"/>
      </w:r>
      <w:r>
        <w:t>]. Σύμφωνα με τον Κανονισμό αυτό, τα πλοία ολικής χωρητικότητας άνω των 5</w:t>
      </w:r>
      <w:r w:rsidR="00B62341" w:rsidRPr="00B62341">
        <w:t>.</w:t>
      </w:r>
      <w:r>
        <w:t>000 GT που φορτώνουν ή εκφορτώνουν φορτίο ή επιβάτες σε λιμένες του Ευρωπαϊκού Οικονομικού Χώρου (ΕΟΧ) υποχρεούνται να παρακολουθούν και να δηλώνουν σε ετήσια βάση την κατανάλωση καυσίμου, τις εκπομπές CO₂ και τα σχετικά δεδομένα μεταφορικού έργου. Τα δηλωθέντα δεδομένα επαληθεύονται από διαπιστευμένους επαληθευτές και δημοσιεύονται από την Ευρωπαϊκή Επιτροπή και τον Ευρωπαϊκό Οργανισμό για την Ασφάλεια στη Θάλασσα</w:t>
      </w:r>
      <w:r w:rsidR="00DE4F04" w:rsidRPr="00DE4F04">
        <w:t xml:space="preserve"> (</w:t>
      </w:r>
      <w:r w:rsidR="00DE4F04">
        <w:rPr>
          <w:lang w:val="en-US"/>
        </w:rPr>
        <w:t>EMSA</w:t>
      </w:r>
      <w:r w:rsidR="00DE4F04" w:rsidRPr="00DE4F04">
        <w:t>)</w:t>
      </w:r>
      <w:r>
        <w:t xml:space="preserve">. Επειδή το πεδίο εφαρμογής ορίζεται με βάση την προσέγγιση σε λιμένα και όχι με βάση τη σημαία του πλοίου, το </w:t>
      </w:r>
      <w:r>
        <w:lastRenderedPageBreak/>
        <w:t>σύστημα καλύπτει τις εκπομπές από ταξίδια μεταξύ λιμένων του ΕΟΧ, από ταξίδια που αρχίζουν ή τελειώνουν σε λιμένα του ΕΟΧ και από τον χρόνο παραμονής στην προβλήτα, ενώ οι εκπομπές ενός ταξιδιού που αρχίζει ή τελειώνει εκτός ΕΟΧ δηλώνονται για ολόκληρο το ταξίδι και όχι μόνο για το ευρωπαϊκό του τμήμα [</w:t>
      </w:r>
      <w:r>
        <w:fldChar w:fldCharType="begin"/>
      </w:r>
      <w:r>
        <w:instrText xml:space="preserve"> REF _Ref_cit_47 \h \* MERGEFORMAT </w:instrText>
      </w:r>
      <w:r>
        <w:fldChar w:fldCharType="separate"/>
      </w:r>
      <w:r w:rsidR="00B0043E" w:rsidRPr="00B0043E">
        <w:t>47</w:t>
      </w:r>
      <w:r>
        <w:fldChar w:fldCharType="end"/>
      </w:r>
      <w:r>
        <w:t>], [</w:t>
      </w:r>
      <w:r>
        <w:fldChar w:fldCharType="begin"/>
      </w:r>
      <w:r>
        <w:instrText xml:space="preserve"> REF _Ref_cit_51 \h \* MERGEFORMAT </w:instrText>
      </w:r>
      <w:r>
        <w:fldChar w:fldCharType="separate"/>
      </w:r>
      <w:r w:rsidR="00B0043E" w:rsidRPr="00B0043E">
        <w:t>51</w:t>
      </w:r>
      <w:r>
        <w:fldChar w:fldCharType="end"/>
      </w:r>
      <w:r>
        <w:t>].</w:t>
      </w:r>
    </w:p>
    <w:p w14:paraId="6B2273EB" w14:textId="1BD69C39" w:rsidR="00DE3C3C" w:rsidRDefault="003C7DFB">
      <w:pPr>
        <w:spacing w:line="360" w:lineRule="auto"/>
        <w:ind w:firstLine="576"/>
        <w:jc w:val="both"/>
      </w:pPr>
      <w:r>
        <w:t>Η έκθεση της Επιτροπής για το έτος αναφοράς 2023 κατέγραψε 126</w:t>
      </w:r>
      <w:r w:rsidR="006A03DE">
        <w:t>,</w:t>
      </w:r>
      <w:r>
        <w:t>7 εκατομμύρια τόνους CO₂, μείωση 7.9% σε σχέση με το 2022, που δηλώθηκαν από 12</w:t>
      </w:r>
      <w:r w:rsidR="00132063">
        <w:t>.</w:t>
      </w:r>
      <w:r>
        <w:t>344 πλοία, τα οποία κατανάλωσαν συνολικά περίπου 41 εκατομμύρια τόνους καυσίμου [</w:t>
      </w:r>
      <w:r>
        <w:fldChar w:fldCharType="begin"/>
      </w:r>
      <w:r>
        <w:instrText xml:space="preserve"> REF _Ref_cit_4 \h \* MERGEFORMAT </w:instrText>
      </w:r>
      <w:r>
        <w:fldChar w:fldCharType="separate"/>
      </w:r>
      <w:r w:rsidR="00B0043E" w:rsidRPr="00B0043E">
        <w:t>4</w:t>
      </w:r>
      <w:r>
        <w:fldChar w:fldCharType="end"/>
      </w:r>
      <w:r>
        <w:t>]. Η επόμενη έκθεση, για το έτος αναφοράς 2024, αναθεωρεί το σύνολο του 2023 σε 128</w:t>
      </w:r>
      <w:r w:rsidR="00132063">
        <w:t>,</w:t>
      </w:r>
      <w:r>
        <w:t>2 εκατομμύρια τόνους και καταγράφει 144</w:t>
      </w:r>
      <w:r w:rsidR="00132063">
        <w:t>,</w:t>
      </w:r>
      <w:r>
        <w:t>9 εκατομμύρια τόνους CO₂ για το 2024, αύξηση 12.9% σε σχέση με το 2023 και 5</w:t>
      </w:r>
      <w:r w:rsidR="00132063">
        <w:t>,</w:t>
      </w:r>
      <w:r>
        <w:t>7% σε σχέση με το προπανδημικό επίπεδο του 2019 (περίπου 137 εκατομμύρια τόνοι, όπως προκύπτει από τα δύο αυτά στοιχεία) [</w:t>
      </w:r>
      <w:r>
        <w:fldChar w:fldCharType="begin"/>
      </w:r>
      <w:r>
        <w:instrText xml:space="preserve"> REF _Ref_cit_46 \h \* MERGEFORMAT </w:instrText>
      </w:r>
      <w:r>
        <w:fldChar w:fldCharType="separate"/>
      </w:r>
      <w:r w:rsidR="00B0043E" w:rsidRPr="00B0043E">
        <w:t>46</w:t>
      </w:r>
      <w:r>
        <w:fldChar w:fldCharType="end"/>
      </w:r>
      <w:r>
        <w:t>]. Το 2024 υπέβαλαν εκθέσεις 12</w:t>
      </w:r>
      <w:r w:rsidR="00771D98">
        <w:t>.</w:t>
      </w:r>
      <w:r>
        <w:t>730 πλοία και η συνολική κατανάλωση καυσίμου ανήλθε σε 46</w:t>
      </w:r>
      <w:r w:rsidR="00771D98">
        <w:t>,</w:t>
      </w:r>
      <w:r>
        <w:t xml:space="preserve">8 εκατομμύρια τόνους. Για πρώτη φορά, η έκθεση </w:t>
      </w:r>
      <w:proofErr w:type="spellStart"/>
      <w:r>
        <w:t>ποσοτικοποίησε</w:t>
      </w:r>
      <w:proofErr w:type="spellEnd"/>
      <w:r>
        <w:t xml:space="preserve"> επίσης αέρια θερμοκηπίου πλην του CO₂, με τη μορφή εκπομπών μεθανίου και </w:t>
      </w:r>
      <w:proofErr w:type="spellStart"/>
      <w:r>
        <w:t>υποξειδίου</w:t>
      </w:r>
      <w:proofErr w:type="spellEnd"/>
      <w:r>
        <w:t xml:space="preserve"> του αζώτου, οι οποίες ανήλθαν σε περίπου 3</w:t>
      </w:r>
      <w:r w:rsidR="006C68EC">
        <w:t>,</w:t>
      </w:r>
      <w:r>
        <w:t>7 εκατομμύρια τόνους ισοδύναμου CO₂ [</w:t>
      </w:r>
      <w:r>
        <w:fldChar w:fldCharType="begin"/>
      </w:r>
      <w:r>
        <w:instrText xml:space="preserve"> REF _Ref_cit_46 \h \* MERGEFORMAT </w:instrText>
      </w:r>
      <w:r>
        <w:fldChar w:fldCharType="separate"/>
      </w:r>
      <w:r w:rsidR="00B0043E" w:rsidRPr="00B0043E">
        <w:t>46</w:t>
      </w:r>
      <w:r>
        <w:fldChar w:fldCharType="end"/>
      </w:r>
      <w:r>
        <w:t xml:space="preserve">]. Οι κύριοι δείκτες των δύο πιο πρόσφατων ετών αναφοράς συνοψίζονται στον </w:t>
      </w:r>
      <w:r w:rsidRPr="006C68EC">
        <w:rPr>
          <w:b/>
          <w:bCs/>
        </w:rPr>
        <w:t>Πίνακα 3</w:t>
      </w:r>
      <w:r>
        <w:t>.</w:t>
      </w:r>
    </w:p>
    <w:p w14:paraId="23C5FF2D" w14:textId="0E09A635" w:rsidR="00DE3C3C" w:rsidRDefault="003C7DFB">
      <w:pPr>
        <w:pStyle w:val="af2"/>
        <w:keepNext/>
        <w:jc w:val="center"/>
        <w:rPr>
          <w:b/>
          <w:bCs/>
          <w:noProof/>
        </w:rPr>
      </w:pPr>
      <w:r>
        <w:rPr>
          <w:b/>
          <w:bCs/>
        </w:rPr>
        <w:t xml:space="preserve">Πίνακας </w:t>
      </w:r>
      <w:r>
        <w:rPr>
          <w:b/>
          <w:bCs/>
        </w:rPr>
        <w:fldChar w:fldCharType="begin"/>
      </w:r>
      <w:r>
        <w:rPr>
          <w:b/>
          <w:bCs/>
        </w:rPr>
        <w:instrText xml:space="preserve"> SEQ Table \* ARABIC </w:instrText>
      </w:r>
      <w:r>
        <w:rPr>
          <w:b/>
          <w:bCs/>
        </w:rPr>
        <w:fldChar w:fldCharType="separate"/>
      </w:r>
      <w:r w:rsidR="00B0043E">
        <w:rPr>
          <w:b/>
          <w:bCs/>
          <w:noProof/>
        </w:rPr>
        <w:t>3</w:t>
      </w:r>
      <w:r>
        <w:rPr>
          <w:b/>
          <w:bCs/>
        </w:rPr>
        <w:fldChar w:fldCharType="end"/>
      </w:r>
      <w:r>
        <w:rPr>
          <w:b/>
          <w:bCs/>
        </w:rPr>
        <w:t>: Βασικοί δείκτες του συστήματος MRV της ΕΕ για τα έτη αναφοράς 2023 και 2024.</w:t>
      </w:r>
    </w:p>
    <w:tbl>
      <w:tblPr>
        <w:tblW w:w="8640"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3300"/>
        <w:gridCol w:w="2800"/>
        <w:gridCol w:w="2540"/>
      </w:tblGrid>
      <w:tr w:rsidR="00DE3C3C" w14:paraId="1A9F149C" w14:textId="77777777">
        <w:trPr>
          <w:cantSplit/>
          <w:tblHeader/>
          <w:jc w:val="center"/>
        </w:trPr>
        <w:tc>
          <w:tcPr>
            <w:tcW w:w="3300" w:type="dxa"/>
            <w:shd w:val="clear" w:color="auto" w:fill="D9D9D9"/>
            <w:tcMar>
              <w:top w:w="60" w:type="dxa"/>
              <w:left w:w="100" w:type="dxa"/>
              <w:bottom w:w="60" w:type="dxa"/>
              <w:right w:w="100" w:type="dxa"/>
            </w:tcMar>
            <w:vAlign w:val="center"/>
          </w:tcPr>
          <w:p w14:paraId="7DDB1E1C" w14:textId="77777777" w:rsidR="00DE3C3C" w:rsidRDefault="003C7DFB" w:rsidP="00535231">
            <w:pPr>
              <w:spacing w:after="0" w:line="240" w:lineRule="auto"/>
              <w:jc w:val="center"/>
              <w:rPr>
                <w:sz w:val="18"/>
                <w:szCs w:val="18"/>
              </w:rPr>
            </w:pPr>
            <w:r>
              <w:rPr>
                <w:b/>
                <w:bCs/>
                <w:sz w:val="18"/>
                <w:szCs w:val="18"/>
              </w:rPr>
              <w:t>Δείκτης</w:t>
            </w:r>
          </w:p>
        </w:tc>
        <w:tc>
          <w:tcPr>
            <w:tcW w:w="2800" w:type="dxa"/>
            <w:shd w:val="clear" w:color="auto" w:fill="D9D9D9"/>
            <w:tcMar>
              <w:top w:w="60" w:type="dxa"/>
              <w:left w:w="100" w:type="dxa"/>
              <w:bottom w:w="60" w:type="dxa"/>
              <w:right w:w="100" w:type="dxa"/>
            </w:tcMar>
            <w:vAlign w:val="center"/>
          </w:tcPr>
          <w:p w14:paraId="5A1F2449" w14:textId="77777777" w:rsidR="00DE3C3C" w:rsidRDefault="003C7DFB" w:rsidP="00535231">
            <w:pPr>
              <w:spacing w:after="0" w:line="240" w:lineRule="auto"/>
              <w:jc w:val="center"/>
              <w:rPr>
                <w:sz w:val="18"/>
                <w:szCs w:val="18"/>
              </w:rPr>
            </w:pPr>
            <w:r>
              <w:rPr>
                <w:b/>
                <w:bCs/>
                <w:sz w:val="18"/>
                <w:szCs w:val="18"/>
              </w:rPr>
              <w:t>Έτος αναφοράς 2023</w:t>
            </w:r>
          </w:p>
        </w:tc>
        <w:tc>
          <w:tcPr>
            <w:tcW w:w="2540" w:type="dxa"/>
            <w:shd w:val="clear" w:color="auto" w:fill="D9D9D9"/>
            <w:tcMar>
              <w:top w:w="60" w:type="dxa"/>
              <w:left w:w="100" w:type="dxa"/>
              <w:bottom w:w="60" w:type="dxa"/>
              <w:right w:w="100" w:type="dxa"/>
            </w:tcMar>
            <w:vAlign w:val="center"/>
          </w:tcPr>
          <w:p w14:paraId="77BFF821" w14:textId="77777777" w:rsidR="00DE3C3C" w:rsidRDefault="003C7DFB" w:rsidP="00535231">
            <w:pPr>
              <w:spacing w:after="0" w:line="240" w:lineRule="auto"/>
              <w:jc w:val="center"/>
              <w:rPr>
                <w:sz w:val="18"/>
                <w:szCs w:val="18"/>
              </w:rPr>
            </w:pPr>
            <w:r>
              <w:rPr>
                <w:b/>
                <w:bCs/>
                <w:sz w:val="18"/>
                <w:szCs w:val="18"/>
              </w:rPr>
              <w:t>Έτος αναφοράς 2024</w:t>
            </w:r>
          </w:p>
        </w:tc>
      </w:tr>
      <w:tr w:rsidR="00DE3C3C" w14:paraId="6FD2E865" w14:textId="77777777">
        <w:trPr>
          <w:cantSplit/>
          <w:jc w:val="center"/>
        </w:trPr>
        <w:tc>
          <w:tcPr>
            <w:tcW w:w="3300" w:type="dxa"/>
            <w:tcMar>
              <w:top w:w="60" w:type="dxa"/>
              <w:left w:w="100" w:type="dxa"/>
              <w:bottom w:w="60" w:type="dxa"/>
              <w:right w:w="100" w:type="dxa"/>
            </w:tcMar>
            <w:vAlign w:val="center"/>
          </w:tcPr>
          <w:p w14:paraId="63E659A5" w14:textId="77777777" w:rsidR="00DE3C3C" w:rsidRDefault="003C7DFB" w:rsidP="00535231">
            <w:pPr>
              <w:spacing w:after="0" w:line="240" w:lineRule="auto"/>
              <w:jc w:val="center"/>
              <w:rPr>
                <w:sz w:val="18"/>
                <w:szCs w:val="18"/>
              </w:rPr>
            </w:pPr>
            <w:r>
              <w:rPr>
                <w:sz w:val="18"/>
                <w:szCs w:val="18"/>
              </w:rPr>
              <w:t>Συνολικές δηλωθείσες εκπομπές CO₂ (</w:t>
            </w:r>
            <w:proofErr w:type="spellStart"/>
            <w:r>
              <w:rPr>
                <w:sz w:val="18"/>
                <w:szCs w:val="18"/>
              </w:rPr>
              <w:t>Mt</w:t>
            </w:r>
            <w:proofErr w:type="spellEnd"/>
            <w:r>
              <w:rPr>
                <w:sz w:val="18"/>
                <w:szCs w:val="18"/>
              </w:rPr>
              <w:t>)</w:t>
            </w:r>
          </w:p>
        </w:tc>
        <w:tc>
          <w:tcPr>
            <w:tcW w:w="2800" w:type="dxa"/>
            <w:tcMar>
              <w:top w:w="60" w:type="dxa"/>
              <w:left w:w="100" w:type="dxa"/>
              <w:bottom w:w="60" w:type="dxa"/>
              <w:right w:w="100" w:type="dxa"/>
            </w:tcMar>
            <w:vAlign w:val="center"/>
          </w:tcPr>
          <w:p w14:paraId="1709F8E5" w14:textId="008C4ED6" w:rsidR="00DE3C3C" w:rsidRDefault="003C7DFB" w:rsidP="00535231">
            <w:pPr>
              <w:spacing w:after="0" w:line="240" w:lineRule="auto"/>
              <w:jc w:val="center"/>
              <w:rPr>
                <w:sz w:val="18"/>
                <w:szCs w:val="18"/>
              </w:rPr>
            </w:pPr>
            <w:r>
              <w:rPr>
                <w:sz w:val="18"/>
                <w:szCs w:val="18"/>
              </w:rPr>
              <w:t>126</w:t>
            </w:r>
            <w:r w:rsidR="00B83772">
              <w:rPr>
                <w:sz w:val="18"/>
                <w:szCs w:val="18"/>
              </w:rPr>
              <w:t>,</w:t>
            </w:r>
            <w:r>
              <w:rPr>
                <w:sz w:val="18"/>
                <w:szCs w:val="18"/>
              </w:rPr>
              <w:t>7 κατά την αρχική δήλωση [</w:t>
            </w:r>
            <w:r>
              <w:rPr>
                <w:sz w:val="18"/>
                <w:szCs w:val="18"/>
              </w:rPr>
              <w:fldChar w:fldCharType="begin"/>
            </w:r>
            <w:r>
              <w:rPr>
                <w:sz w:val="18"/>
                <w:szCs w:val="18"/>
              </w:rPr>
              <w:instrText xml:space="preserve"> REF _Ref_cit_4 \h \* MERGEFORMAT </w:instrText>
            </w:r>
            <w:r>
              <w:rPr>
                <w:sz w:val="18"/>
                <w:szCs w:val="18"/>
              </w:rPr>
            </w:r>
            <w:r>
              <w:rPr>
                <w:sz w:val="18"/>
                <w:szCs w:val="18"/>
              </w:rPr>
              <w:fldChar w:fldCharType="separate"/>
            </w:r>
            <w:r w:rsidR="00B0043E" w:rsidRPr="00B0043E">
              <w:rPr>
                <w:sz w:val="18"/>
                <w:szCs w:val="18"/>
              </w:rPr>
              <w:t>4</w:t>
            </w:r>
            <w:r>
              <w:rPr>
                <w:sz w:val="18"/>
                <w:szCs w:val="18"/>
              </w:rPr>
              <w:fldChar w:fldCharType="end"/>
            </w:r>
            <w:r>
              <w:rPr>
                <w:sz w:val="18"/>
                <w:szCs w:val="18"/>
              </w:rPr>
              <w:t>]· 128</w:t>
            </w:r>
            <w:r w:rsidR="00B83772">
              <w:rPr>
                <w:sz w:val="18"/>
                <w:szCs w:val="18"/>
              </w:rPr>
              <w:t>,</w:t>
            </w:r>
            <w:r>
              <w:rPr>
                <w:sz w:val="18"/>
                <w:szCs w:val="18"/>
              </w:rPr>
              <w:t>2 μετά την αναθεώρηση [</w:t>
            </w:r>
            <w:r>
              <w:rPr>
                <w:sz w:val="18"/>
                <w:szCs w:val="18"/>
              </w:rPr>
              <w:fldChar w:fldCharType="begin"/>
            </w:r>
            <w:r>
              <w:rPr>
                <w:sz w:val="18"/>
                <w:szCs w:val="18"/>
              </w:rPr>
              <w:instrText xml:space="preserve"> REF _Ref_cit_46 \h \* MERGEFORMAT </w:instrText>
            </w:r>
            <w:r>
              <w:rPr>
                <w:sz w:val="18"/>
                <w:szCs w:val="18"/>
              </w:rPr>
            </w:r>
            <w:r>
              <w:rPr>
                <w:sz w:val="18"/>
                <w:szCs w:val="18"/>
              </w:rPr>
              <w:fldChar w:fldCharType="separate"/>
            </w:r>
            <w:r w:rsidR="00B0043E" w:rsidRPr="00B0043E">
              <w:rPr>
                <w:sz w:val="18"/>
                <w:szCs w:val="18"/>
              </w:rPr>
              <w:t>46</w:t>
            </w:r>
            <w:r>
              <w:rPr>
                <w:sz w:val="18"/>
                <w:szCs w:val="18"/>
              </w:rPr>
              <w:fldChar w:fldCharType="end"/>
            </w:r>
            <w:r>
              <w:rPr>
                <w:sz w:val="18"/>
                <w:szCs w:val="18"/>
              </w:rPr>
              <w:t>]</w:t>
            </w:r>
          </w:p>
        </w:tc>
        <w:tc>
          <w:tcPr>
            <w:tcW w:w="2540" w:type="dxa"/>
            <w:tcMar>
              <w:top w:w="60" w:type="dxa"/>
              <w:left w:w="100" w:type="dxa"/>
              <w:bottom w:w="60" w:type="dxa"/>
              <w:right w:w="100" w:type="dxa"/>
            </w:tcMar>
            <w:vAlign w:val="center"/>
          </w:tcPr>
          <w:p w14:paraId="749E1685" w14:textId="711D1CE8" w:rsidR="00DE3C3C" w:rsidRDefault="003C7DFB" w:rsidP="00535231">
            <w:pPr>
              <w:spacing w:after="0" w:line="240" w:lineRule="auto"/>
              <w:jc w:val="center"/>
              <w:rPr>
                <w:sz w:val="18"/>
                <w:szCs w:val="18"/>
              </w:rPr>
            </w:pPr>
            <w:r>
              <w:rPr>
                <w:sz w:val="18"/>
                <w:szCs w:val="18"/>
              </w:rPr>
              <w:t>144</w:t>
            </w:r>
            <w:r w:rsidR="00B83772">
              <w:rPr>
                <w:sz w:val="18"/>
                <w:szCs w:val="18"/>
              </w:rPr>
              <w:t>,</w:t>
            </w:r>
            <w:r>
              <w:rPr>
                <w:sz w:val="18"/>
                <w:szCs w:val="18"/>
              </w:rPr>
              <w:t>9 [</w:t>
            </w:r>
            <w:r>
              <w:rPr>
                <w:sz w:val="18"/>
                <w:szCs w:val="18"/>
              </w:rPr>
              <w:fldChar w:fldCharType="begin"/>
            </w:r>
            <w:r>
              <w:rPr>
                <w:sz w:val="18"/>
                <w:szCs w:val="18"/>
              </w:rPr>
              <w:instrText xml:space="preserve"> REF _Ref_cit_46 \h \* MERGEFORMAT </w:instrText>
            </w:r>
            <w:r>
              <w:rPr>
                <w:sz w:val="18"/>
                <w:szCs w:val="18"/>
              </w:rPr>
            </w:r>
            <w:r>
              <w:rPr>
                <w:sz w:val="18"/>
                <w:szCs w:val="18"/>
              </w:rPr>
              <w:fldChar w:fldCharType="separate"/>
            </w:r>
            <w:r w:rsidR="00B0043E" w:rsidRPr="00B0043E">
              <w:rPr>
                <w:sz w:val="18"/>
                <w:szCs w:val="18"/>
              </w:rPr>
              <w:t>46</w:t>
            </w:r>
            <w:r>
              <w:rPr>
                <w:sz w:val="18"/>
                <w:szCs w:val="18"/>
              </w:rPr>
              <w:fldChar w:fldCharType="end"/>
            </w:r>
            <w:r>
              <w:rPr>
                <w:sz w:val="18"/>
                <w:szCs w:val="18"/>
              </w:rPr>
              <w:t>]</w:t>
            </w:r>
          </w:p>
        </w:tc>
      </w:tr>
      <w:tr w:rsidR="00DE3C3C" w14:paraId="15890EE1" w14:textId="77777777">
        <w:trPr>
          <w:cantSplit/>
          <w:jc w:val="center"/>
        </w:trPr>
        <w:tc>
          <w:tcPr>
            <w:tcW w:w="3300" w:type="dxa"/>
            <w:tcMar>
              <w:top w:w="60" w:type="dxa"/>
              <w:left w:w="100" w:type="dxa"/>
              <w:bottom w:w="60" w:type="dxa"/>
              <w:right w:w="100" w:type="dxa"/>
            </w:tcMar>
            <w:vAlign w:val="center"/>
          </w:tcPr>
          <w:p w14:paraId="092A631B" w14:textId="77777777" w:rsidR="00DE3C3C" w:rsidRDefault="003C7DFB" w:rsidP="00535231">
            <w:pPr>
              <w:spacing w:after="0" w:line="240" w:lineRule="auto"/>
              <w:jc w:val="center"/>
              <w:rPr>
                <w:sz w:val="18"/>
                <w:szCs w:val="18"/>
              </w:rPr>
            </w:pPr>
            <w:r>
              <w:rPr>
                <w:sz w:val="18"/>
                <w:szCs w:val="18"/>
              </w:rPr>
              <w:t>Μεταβολή σε σχέση με το προηγούμενο έτος</w:t>
            </w:r>
          </w:p>
        </w:tc>
        <w:tc>
          <w:tcPr>
            <w:tcW w:w="2800" w:type="dxa"/>
            <w:tcMar>
              <w:top w:w="60" w:type="dxa"/>
              <w:left w:w="100" w:type="dxa"/>
              <w:bottom w:w="60" w:type="dxa"/>
              <w:right w:w="100" w:type="dxa"/>
            </w:tcMar>
            <w:vAlign w:val="center"/>
          </w:tcPr>
          <w:p w14:paraId="3A28B264" w14:textId="0D6E41A6" w:rsidR="00DE3C3C" w:rsidRDefault="003C7DFB" w:rsidP="00535231">
            <w:pPr>
              <w:spacing w:after="0" w:line="240" w:lineRule="auto"/>
              <w:jc w:val="center"/>
              <w:rPr>
                <w:sz w:val="18"/>
                <w:szCs w:val="18"/>
              </w:rPr>
            </w:pPr>
            <w:r>
              <w:rPr>
                <w:sz w:val="18"/>
                <w:szCs w:val="18"/>
              </w:rPr>
              <w:t>−7</w:t>
            </w:r>
            <w:r w:rsidR="00B83772">
              <w:rPr>
                <w:sz w:val="18"/>
                <w:szCs w:val="18"/>
              </w:rPr>
              <w:t>,</w:t>
            </w:r>
            <w:r>
              <w:rPr>
                <w:sz w:val="18"/>
                <w:szCs w:val="18"/>
              </w:rPr>
              <w:t>9% (έναντι του 2022) [</w:t>
            </w:r>
            <w:r>
              <w:rPr>
                <w:sz w:val="18"/>
                <w:szCs w:val="18"/>
              </w:rPr>
              <w:fldChar w:fldCharType="begin"/>
            </w:r>
            <w:r>
              <w:rPr>
                <w:sz w:val="18"/>
                <w:szCs w:val="18"/>
              </w:rPr>
              <w:instrText xml:space="preserve"> REF _Ref_cit_4 \h \* MERGEFORMAT </w:instrText>
            </w:r>
            <w:r>
              <w:rPr>
                <w:sz w:val="18"/>
                <w:szCs w:val="18"/>
              </w:rPr>
            </w:r>
            <w:r>
              <w:rPr>
                <w:sz w:val="18"/>
                <w:szCs w:val="18"/>
              </w:rPr>
              <w:fldChar w:fldCharType="separate"/>
            </w:r>
            <w:r w:rsidR="00B0043E" w:rsidRPr="00B0043E">
              <w:rPr>
                <w:sz w:val="18"/>
                <w:szCs w:val="18"/>
              </w:rPr>
              <w:t>4</w:t>
            </w:r>
            <w:r>
              <w:rPr>
                <w:sz w:val="18"/>
                <w:szCs w:val="18"/>
              </w:rPr>
              <w:fldChar w:fldCharType="end"/>
            </w:r>
            <w:r>
              <w:rPr>
                <w:sz w:val="18"/>
                <w:szCs w:val="18"/>
              </w:rPr>
              <w:t>]</w:t>
            </w:r>
          </w:p>
        </w:tc>
        <w:tc>
          <w:tcPr>
            <w:tcW w:w="2540" w:type="dxa"/>
            <w:tcMar>
              <w:top w:w="60" w:type="dxa"/>
              <w:left w:w="100" w:type="dxa"/>
              <w:bottom w:w="60" w:type="dxa"/>
              <w:right w:w="100" w:type="dxa"/>
            </w:tcMar>
            <w:vAlign w:val="center"/>
          </w:tcPr>
          <w:p w14:paraId="465066EB" w14:textId="69715830" w:rsidR="00DE3C3C" w:rsidRDefault="003C7DFB" w:rsidP="00535231">
            <w:pPr>
              <w:spacing w:after="0" w:line="240" w:lineRule="auto"/>
              <w:jc w:val="center"/>
              <w:rPr>
                <w:sz w:val="18"/>
                <w:szCs w:val="18"/>
              </w:rPr>
            </w:pPr>
            <w:r>
              <w:rPr>
                <w:sz w:val="18"/>
                <w:szCs w:val="18"/>
              </w:rPr>
              <w:t>+12</w:t>
            </w:r>
            <w:r w:rsidR="00B83772">
              <w:rPr>
                <w:sz w:val="18"/>
                <w:szCs w:val="18"/>
              </w:rPr>
              <w:t>,</w:t>
            </w:r>
            <w:r>
              <w:rPr>
                <w:sz w:val="18"/>
                <w:szCs w:val="18"/>
              </w:rPr>
              <w:t>9% (έναντι του 2023) [</w:t>
            </w:r>
            <w:r>
              <w:rPr>
                <w:sz w:val="18"/>
                <w:szCs w:val="18"/>
              </w:rPr>
              <w:fldChar w:fldCharType="begin"/>
            </w:r>
            <w:r>
              <w:rPr>
                <w:sz w:val="18"/>
                <w:szCs w:val="18"/>
              </w:rPr>
              <w:instrText xml:space="preserve"> REF _Ref_cit_46 \h \* MERGEFORMAT </w:instrText>
            </w:r>
            <w:r>
              <w:rPr>
                <w:sz w:val="18"/>
                <w:szCs w:val="18"/>
              </w:rPr>
            </w:r>
            <w:r>
              <w:rPr>
                <w:sz w:val="18"/>
                <w:szCs w:val="18"/>
              </w:rPr>
              <w:fldChar w:fldCharType="separate"/>
            </w:r>
            <w:r w:rsidR="00B0043E" w:rsidRPr="00B0043E">
              <w:rPr>
                <w:sz w:val="18"/>
                <w:szCs w:val="18"/>
              </w:rPr>
              <w:t>46</w:t>
            </w:r>
            <w:r>
              <w:rPr>
                <w:sz w:val="18"/>
                <w:szCs w:val="18"/>
              </w:rPr>
              <w:fldChar w:fldCharType="end"/>
            </w:r>
            <w:r>
              <w:rPr>
                <w:sz w:val="18"/>
                <w:szCs w:val="18"/>
              </w:rPr>
              <w:t>]</w:t>
            </w:r>
          </w:p>
        </w:tc>
      </w:tr>
      <w:tr w:rsidR="00DE3C3C" w14:paraId="4D9E1D58" w14:textId="77777777">
        <w:trPr>
          <w:cantSplit/>
          <w:jc w:val="center"/>
        </w:trPr>
        <w:tc>
          <w:tcPr>
            <w:tcW w:w="3300" w:type="dxa"/>
            <w:tcMar>
              <w:top w:w="60" w:type="dxa"/>
              <w:left w:w="100" w:type="dxa"/>
              <w:bottom w:w="60" w:type="dxa"/>
              <w:right w:w="100" w:type="dxa"/>
            </w:tcMar>
            <w:vAlign w:val="center"/>
          </w:tcPr>
          <w:p w14:paraId="460C887B" w14:textId="77777777" w:rsidR="00DE3C3C" w:rsidRDefault="003C7DFB" w:rsidP="00535231">
            <w:pPr>
              <w:spacing w:after="0" w:line="240" w:lineRule="auto"/>
              <w:jc w:val="center"/>
              <w:rPr>
                <w:sz w:val="18"/>
                <w:szCs w:val="18"/>
              </w:rPr>
            </w:pPr>
            <w:r>
              <w:rPr>
                <w:sz w:val="18"/>
                <w:szCs w:val="18"/>
              </w:rPr>
              <w:t>Πλοία που υπέβαλαν εκθέσεις</w:t>
            </w:r>
          </w:p>
        </w:tc>
        <w:tc>
          <w:tcPr>
            <w:tcW w:w="2800" w:type="dxa"/>
            <w:tcMar>
              <w:top w:w="60" w:type="dxa"/>
              <w:left w:w="100" w:type="dxa"/>
              <w:bottom w:w="60" w:type="dxa"/>
              <w:right w:w="100" w:type="dxa"/>
            </w:tcMar>
            <w:vAlign w:val="center"/>
          </w:tcPr>
          <w:p w14:paraId="69DCC01B" w14:textId="3279503F" w:rsidR="00DE3C3C" w:rsidRDefault="003C7DFB" w:rsidP="00535231">
            <w:pPr>
              <w:spacing w:after="0" w:line="240" w:lineRule="auto"/>
              <w:jc w:val="center"/>
              <w:rPr>
                <w:sz w:val="18"/>
                <w:szCs w:val="18"/>
              </w:rPr>
            </w:pPr>
            <w:r>
              <w:rPr>
                <w:sz w:val="18"/>
                <w:szCs w:val="18"/>
              </w:rPr>
              <w:t>12</w:t>
            </w:r>
            <w:r w:rsidR="00B83772">
              <w:rPr>
                <w:sz w:val="18"/>
                <w:szCs w:val="18"/>
              </w:rPr>
              <w:t>.</w:t>
            </w:r>
            <w:r>
              <w:rPr>
                <w:sz w:val="18"/>
                <w:szCs w:val="18"/>
              </w:rPr>
              <w:t>344 [</w:t>
            </w:r>
            <w:r>
              <w:rPr>
                <w:sz w:val="18"/>
                <w:szCs w:val="18"/>
              </w:rPr>
              <w:fldChar w:fldCharType="begin"/>
            </w:r>
            <w:r>
              <w:rPr>
                <w:sz w:val="18"/>
                <w:szCs w:val="18"/>
              </w:rPr>
              <w:instrText xml:space="preserve"> REF _Ref_cit_4 \h \* MERGEFORMAT </w:instrText>
            </w:r>
            <w:r>
              <w:rPr>
                <w:sz w:val="18"/>
                <w:szCs w:val="18"/>
              </w:rPr>
            </w:r>
            <w:r>
              <w:rPr>
                <w:sz w:val="18"/>
                <w:szCs w:val="18"/>
              </w:rPr>
              <w:fldChar w:fldCharType="separate"/>
            </w:r>
            <w:r w:rsidR="00B0043E" w:rsidRPr="00B0043E">
              <w:rPr>
                <w:sz w:val="18"/>
                <w:szCs w:val="18"/>
              </w:rPr>
              <w:t>4</w:t>
            </w:r>
            <w:r>
              <w:rPr>
                <w:sz w:val="18"/>
                <w:szCs w:val="18"/>
              </w:rPr>
              <w:fldChar w:fldCharType="end"/>
            </w:r>
            <w:r>
              <w:rPr>
                <w:sz w:val="18"/>
                <w:szCs w:val="18"/>
              </w:rPr>
              <w:t>]</w:t>
            </w:r>
          </w:p>
        </w:tc>
        <w:tc>
          <w:tcPr>
            <w:tcW w:w="2540" w:type="dxa"/>
            <w:tcMar>
              <w:top w:w="60" w:type="dxa"/>
              <w:left w:w="100" w:type="dxa"/>
              <w:bottom w:w="60" w:type="dxa"/>
              <w:right w:w="100" w:type="dxa"/>
            </w:tcMar>
            <w:vAlign w:val="center"/>
          </w:tcPr>
          <w:p w14:paraId="54C2BB73" w14:textId="37F7931D" w:rsidR="00DE3C3C" w:rsidRDefault="003C7DFB" w:rsidP="00535231">
            <w:pPr>
              <w:spacing w:after="0" w:line="240" w:lineRule="auto"/>
              <w:jc w:val="center"/>
              <w:rPr>
                <w:sz w:val="18"/>
                <w:szCs w:val="18"/>
              </w:rPr>
            </w:pPr>
            <w:r>
              <w:rPr>
                <w:sz w:val="18"/>
                <w:szCs w:val="18"/>
              </w:rPr>
              <w:t>12</w:t>
            </w:r>
            <w:r w:rsidR="00B83772">
              <w:rPr>
                <w:sz w:val="18"/>
                <w:szCs w:val="18"/>
              </w:rPr>
              <w:t>.</w:t>
            </w:r>
            <w:r>
              <w:rPr>
                <w:sz w:val="18"/>
                <w:szCs w:val="18"/>
              </w:rPr>
              <w:t>730 [</w:t>
            </w:r>
            <w:r>
              <w:rPr>
                <w:sz w:val="18"/>
                <w:szCs w:val="18"/>
              </w:rPr>
              <w:fldChar w:fldCharType="begin"/>
            </w:r>
            <w:r>
              <w:rPr>
                <w:sz w:val="18"/>
                <w:szCs w:val="18"/>
              </w:rPr>
              <w:instrText xml:space="preserve"> REF _Ref_cit_46 \h \* MERGEFORMAT </w:instrText>
            </w:r>
            <w:r>
              <w:rPr>
                <w:sz w:val="18"/>
                <w:szCs w:val="18"/>
              </w:rPr>
            </w:r>
            <w:r>
              <w:rPr>
                <w:sz w:val="18"/>
                <w:szCs w:val="18"/>
              </w:rPr>
              <w:fldChar w:fldCharType="separate"/>
            </w:r>
            <w:r w:rsidR="00B0043E" w:rsidRPr="00B0043E">
              <w:rPr>
                <w:sz w:val="18"/>
                <w:szCs w:val="18"/>
              </w:rPr>
              <w:t>46</w:t>
            </w:r>
            <w:r>
              <w:rPr>
                <w:sz w:val="18"/>
                <w:szCs w:val="18"/>
              </w:rPr>
              <w:fldChar w:fldCharType="end"/>
            </w:r>
            <w:r>
              <w:rPr>
                <w:sz w:val="18"/>
                <w:szCs w:val="18"/>
              </w:rPr>
              <w:t>]</w:t>
            </w:r>
          </w:p>
        </w:tc>
      </w:tr>
      <w:tr w:rsidR="00DE3C3C" w14:paraId="50474575" w14:textId="77777777">
        <w:trPr>
          <w:cantSplit/>
          <w:jc w:val="center"/>
        </w:trPr>
        <w:tc>
          <w:tcPr>
            <w:tcW w:w="3300" w:type="dxa"/>
            <w:tcMar>
              <w:top w:w="60" w:type="dxa"/>
              <w:left w:w="100" w:type="dxa"/>
              <w:bottom w:w="60" w:type="dxa"/>
              <w:right w:w="100" w:type="dxa"/>
            </w:tcMar>
            <w:vAlign w:val="center"/>
          </w:tcPr>
          <w:p w14:paraId="45D88865" w14:textId="77777777" w:rsidR="00DE3C3C" w:rsidRDefault="003C7DFB" w:rsidP="00535231">
            <w:pPr>
              <w:spacing w:after="0" w:line="240" w:lineRule="auto"/>
              <w:jc w:val="center"/>
              <w:rPr>
                <w:sz w:val="18"/>
                <w:szCs w:val="18"/>
              </w:rPr>
            </w:pPr>
            <w:r>
              <w:rPr>
                <w:sz w:val="18"/>
                <w:szCs w:val="18"/>
              </w:rPr>
              <w:t>Συνολική κατανάλωση καυσίμου (</w:t>
            </w:r>
            <w:proofErr w:type="spellStart"/>
            <w:r>
              <w:rPr>
                <w:sz w:val="18"/>
                <w:szCs w:val="18"/>
              </w:rPr>
              <w:t>Mt</w:t>
            </w:r>
            <w:proofErr w:type="spellEnd"/>
            <w:r>
              <w:rPr>
                <w:sz w:val="18"/>
                <w:szCs w:val="18"/>
              </w:rPr>
              <w:t>)</w:t>
            </w:r>
          </w:p>
        </w:tc>
        <w:tc>
          <w:tcPr>
            <w:tcW w:w="2800" w:type="dxa"/>
            <w:tcMar>
              <w:top w:w="60" w:type="dxa"/>
              <w:left w:w="100" w:type="dxa"/>
              <w:bottom w:w="60" w:type="dxa"/>
              <w:right w:w="100" w:type="dxa"/>
            </w:tcMar>
            <w:vAlign w:val="center"/>
          </w:tcPr>
          <w:p w14:paraId="1EF552DA" w14:textId="11CBABE1" w:rsidR="00DE3C3C" w:rsidRDefault="003C7DFB" w:rsidP="00535231">
            <w:pPr>
              <w:spacing w:after="0" w:line="240" w:lineRule="auto"/>
              <w:jc w:val="center"/>
              <w:rPr>
                <w:sz w:val="18"/>
                <w:szCs w:val="18"/>
              </w:rPr>
            </w:pPr>
            <w:r>
              <w:rPr>
                <w:sz w:val="18"/>
                <w:szCs w:val="18"/>
              </w:rPr>
              <w:t>≈ 41 [</w:t>
            </w:r>
            <w:r>
              <w:rPr>
                <w:sz w:val="18"/>
                <w:szCs w:val="18"/>
              </w:rPr>
              <w:fldChar w:fldCharType="begin"/>
            </w:r>
            <w:r>
              <w:rPr>
                <w:sz w:val="18"/>
                <w:szCs w:val="18"/>
              </w:rPr>
              <w:instrText xml:space="preserve"> REF _Ref_cit_4 \h \* MERGEFORMAT </w:instrText>
            </w:r>
            <w:r>
              <w:rPr>
                <w:sz w:val="18"/>
                <w:szCs w:val="18"/>
              </w:rPr>
            </w:r>
            <w:r>
              <w:rPr>
                <w:sz w:val="18"/>
                <w:szCs w:val="18"/>
              </w:rPr>
              <w:fldChar w:fldCharType="separate"/>
            </w:r>
            <w:r w:rsidR="00B0043E" w:rsidRPr="00B0043E">
              <w:rPr>
                <w:sz w:val="18"/>
                <w:szCs w:val="18"/>
              </w:rPr>
              <w:t>4</w:t>
            </w:r>
            <w:r>
              <w:rPr>
                <w:sz w:val="18"/>
                <w:szCs w:val="18"/>
              </w:rPr>
              <w:fldChar w:fldCharType="end"/>
            </w:r>
            <w:r>
              <w:rPr>
                <w:sz w:val="18"/>
                <w:szCs w:val="18"/>
              </w:rPr>
              <w:t>]</w:t>
            </w:r>
          </w:p>
        </w:tc>
        <w:tc>
          <w:tcPr>
            <w:tcW w:w="2540" w:type="dxa"/>
            <w:tcMar>
              <w:top w:w="60" w:type="dxa"/>
              <w:left w:w="100" w:type="dxa"/>
              <w:bottom w:w="60" w:type="dxa"/>
              <w:right w:w="100" w:type="dxa"/>
            </w:tcMar>
            <w:vAlign w:val="center"/>
          </w:tcPr>
          <w:p w14:paraId="44782599" w14:textId="0637BFD2" w:rsidR="00DE3C3C" w:rsidRDefault="003C7DFB" w:rsidP="00535231">
            <w:pPr>
              <w:spacing w:after="0" w:line="240" w:lineRule="auto"/>
              <w:jc w:val="center"/>
              <w:rPr>
                <w:sz w:val="18"/>
                <w:szCs w:val="18"/>
              </w:rPr>
            </w:pPr>
            <w:r>
              <w:rPr>
                <w:sz w:val="18"/>
                <w:szCs w:val="18"/>
              </w:rPr>
              <w:t>46</w:t>
            </w:r>
            <w:r w:rsidR="00113EEE">
              <w:rPr>
                <w:sz w:val="18"/>
                <w:szCs w:val="18"/>
              </w:rPr>
              <w:t>,</w:t>
            </w:r>
            <w:r>
              <w:rPr>
                <w:sz w:val="18"/>
                <w:szCs w:val="18"/>
              </w:rPr>
              <w:t>8 [</w:t>
            </w:r>
            <w:r>
              <w:rPr>
                <w:sz w:val="18"/>
                <w:szCs w:val="18"/>
              </w:rPr>
              <w:fldChar w:fldCharType="begin"/>
            </w:r>
            <w:r>
              <w:rPr>
                <w:sz w:val="18"/>
                <w:szCs w:val="18"/>
              </w:rPr>
              <w:instrText xml:space="preserve"> REF _Ref_cit_46 \h \* MERGEFORMAT </w:instrText>
            </w:r>
            <w:r>
              <w:rPr>
                <w:sz w:val="18"/>
                <w:szCs w:val="18"/>
              </w:rPr>
            </w:r>
            <w:r>
              <w:rPr>
                <w:sz w:val="18"/>
                <w:szCs w:val="18"/>
              </w:rPr>
              <w:fldChar w:fldCharType="separate"/>
            </w:r>
            <w:r w:rsidR="00B0043E" w:rsidRPr="00B0043E">
              <w:rPr>
                <w:sz w:val="18"/>
                <w:szCs w:val="18"/>
              </w:rPr>
              <w:t>46</w:t>
            </w:r>
            <w:r>
              <w:rPr>
                <w:sz w:val="18"/>
                <w:szCs w:val="18"/>
              </w:rPr>
              <w:fldChar w:fldCharType="end"/>
            </w:r>
            <w:r>
              <w:rPr>
                <w:sz w:val="18"/>
                <w:szCs w:val="18"/>
              </w:rPr>
              <w:t>]</w:t>
            </w:r>
          </w:p>
        </w:tc>
      </w:tr>
      <w:tr w:rsidR="00DE3C3C" w14:paraId="36FF3513" w14:textId="77777777">
        <w:trPr>
          <w:cantSplit/>
          <w:jc w:val="center"/>
        </w:trPr>
        <w:tc>
          <w:tcPr>
            <w:tcW w:w="3300" w:type="dxa"/>
            <w:tcMar>
              <w:top w:w="60" w:type="dxa"/>
              <w:left w:w="100" w:type="dxa"/>
              <w:bottom w:w="60" w:type="dxa"/>
              <w:right w:w="100" w:type="dxa"/>
            </w:tcMar>
            <w:vAlign w:val="center"/>
          </w:tcPr>
          <w:p w14:paraId="59408267" w14:textId="77777777" w:rsidR="00DE3C3C" w:rsidRDefault="003C7DFB" w:rsidP="00535231">
            <w:pPr>
              <w:spacing w:after="0" w:line="240" w:lineRule="auto"/>
              <w:jc w:val="center"/>
              <w:rPr>
                <w:sz w:val="18"/>
                <w:szCs w:val="18"/>
              </w:rPr>
            </w:pPr>
            <w:r>
              <w:rPr>
                <w:sz w:val="18"/>
                <w:szCs w:val="18"/>
              </w:rPr>
              <w:t>Μερίδιο εκπομπών από πλοία μεταφοράς εμπορευματοκιβωτίων</w:t>
            </w:r>
          </w:p>
        </w:tc>
        <w:tc>
          <w:tcPr>
            <w:tcW w:w="2800" w:type="dxa"/>
            <w:tcMar>
              <w:top w:w="60" w:type="dxa"/>
              <w:left w:w="100" w:type="dxa"/>
              <w:bottom w:w="60" w:type="dxa"/>
              <w:right w:w="100" w:type="dxa"/>
            </w:tcMar>
            <w:vAlign w:val="center"/>
          </w:tcPr>
          <w:p w14:paraId="1AD78EA6" w14:textId="2A4B3F62" w:rsidR="00DE3C3C" w:rsidRDefault="003C7DFB" w:rsidP="00535231">
            <w:pPr>
              <w:spacing w:after="0" w:line="240" w:lineRule="auto"/>
              <w:jc w:val="center"/>
              <w:rPr>
                <w:sz w:val="18"/>
                <w:szCs w:val="18"/>
              </w:rPr>
            </w:pPr>
            <w:r>
              <w:rPr>
                <w:sz w:val="18"/>
                <w:szCs w:val="18"/>
              </w:rPr>
              <w:t>28% [</w:t>
            </w:r>
            <w:r>
              <w:rPr>
                <w:sz w:val="18"/>
                <w:szCs w:val="18"/>
              </w:rPr>
              <w:fldChar w:fldCharType="begin"/>
            </w:r>
            <w:r>
              <w:rPr>
                <w:sz w:val="18"/>
                <w:szCs w:val="18"/>
              </w:rPr>
              <w:instrText xml:space="preserve"> REF _Ref_cit_4 \h \* MERGEFORMAT </w:instrText>
            </w:r>
            <w:r>
              <w:rPr>
                <w:sz w:val="18"/>
                <w:szCs w:val="18"/>
              </w:rPr>
            </w:r>
            <w:r>
              <w:rPr>
                <w:sz w:val="18"/>
                <w:szCs w:val="18"/>
              </w:rPr>
              <w:fldChar w:fldCharType="separate"/>
            </w:r>
            <w:r w:rsidR="00B0043E" w:rsidRPr="00B0043E">
              <w:rPr>
                <w:sz w:val="18"/>
                <w:szCs w:val="18"/>
              </w:rPr>
              <w:t>4</w:t>
            </w:r>
            <w:r>
              <w:rPr>
                <w:sz w:val="18"/>
                <w:szCs w:val="18"/>
              </w:rPr>
              <w:fldChar w:fldCharType="end"/>
            </w:r>
            <w:r>
              <w:rPr>
                <w:sz w:val="18"/>
                <w:szCs w:val="18"/>
              </w:rPr>
              <w:t>]</w:t>
            </w:r>
          </w:p>
        </w:tc>
        <w:tc>
          <w:tcPr>
            <w:tcW w:w="2540" w:type="dxa"/>
            <w:tcMar>
              <w:top w:w="60" w:type="dxa"/>
              <w:left w:w="100" w:type="dxa"/>
              <w:bottom w:w="60" w:type="dxa"/>
              <w:right w:w="100" w:type="dxa"/>
            </w:tcMar>
            <w:vAlign w:val="center"/>
          </w:tcPr>
          <w:p w14:paraId="5A8838FD" w14:textId="5D1ED5A4" w:rsidR="00DE3C3C" w:rsidRDefault="003C7DFB" w:rsidP="00535231">
            <w:pPr>
              <w:spacing w:after="0" w:line="240" w:lineRule="auto"/>
              <w:jc w:val="center"/>
              <w:rPr>
                <w:sz w:val="18"/>
                <w:szCs w:val="18"/>
              </w:rPr>
            </w:pPr>
            <w:r>
              <w:rPr>
                <w:sz w:val="18"/>
                <w:szCs w:val="18"/>
              </w:rPr>
              <w:t xml:space="preserve">37% (53 </w:t>
            </w:r>
            <w:proofErr w:type="spellStart"/>
            <w:r>
              <w:rPr>
                <w:sz w:val="18"/>
                <w:szCs w:val="18"/>
              </w:rPr>
              <w:t>Mt</w:t>
            </w:r>
            <w:proofErr w:type="spellEnd"/>
            <w:r>
              <w:rPr>
                <w:sz w:val="18"/>
                <w:szCs w:val="18"/>
              </w:rPr>
              <w:t>) [</w:t>
            </w:r>
            <w:r>
              <w:rPr>
                <w:sz w:val="18"/>
                <w:szCs w:val="18"/>
              </w:rPr>
              <w:fldChar w:fldCharType="begin"/>
            </w:r>
            <w:r>
              <w:rPr>
                <w:sz w:val="18"/>
                <w:szCs w:val="18"/>
              </w:rPr>
              <w:instrText xml:space="preserve"> REF _Ref_cit_46 \h \* MERGEFORMAT </w:instrText>
            </w:r>
            <w:r>
              <w:rPr>
                <w:sz w:val="18"/>
                <w:szCs w:val="18"/>
              </w:rPr>
            </w:r>
            <w:r>
              <w:rPr>
                <w:sz w:val="18"/>
                <w:szCs w:val="18"/>
              </w:rPr>
              <w:fldChar w:fldCharType="separate"/>
            </w:r>
            <w:r w:rsidR="00B0043E" w:rsidRPr="00B0043E">
              <w:rPr>
                <w:sz w:val="18"/>
                <w:szCs w:val="18"/>
              </w:rPr>
              <w:t>46</w:t>
            </w:r>
            <w:r>
              <w:rPr>
                <w:sz w:val="18"/>
                <w:szCs w:val="18"/>
              </w:rPr>
              <w:fldChar w:fldCharType="end"/>
            </w:r>
            <w:r>
              <w:rPr>
                <w:sz w:val="18"/>
                <w:szCs w:val="18"/>
              </w:rPr>
              <w:t>]</w:t>
            </w:r>
          </w:p>
        </w:tc>
      </w:tr>
      <w:tr w:rsidR="00DE3C3C" w14:paraId="4323710A" w14:textId="77777777">
        <w:trPr>
          <w:cantSplit/>
          <w:jc w:val="center"/>
        </w:trPr>
        <w:tc>
          <w:tcPr>
            <w:tcW w:w="3300" w:type="dxa"/>
            <w:tcMar>
              <w:top w:w="60" w:type="dxa"/>
              <w:left w:w="100" w:type="dxa"/>
              <w:bottom w:w="60" w:type="dxa"/>
              <w:right w:w="100" w:type="dxa"/>
            </w:tcMar>
            <w:vAlign w:val="center"/>
          </w:tcPr>
          <w:p w14:paraId="77A3FAB5" w14:textId="77777777" w:rsidR="00DE3C3C" w:rsidRDefault="003C7DFB" w:rsidP="00535231">
            <w:pPr>
              <w:spacing w:after="0" w:line="240" w:lineRule="auto"/>
              <w:jc w:val="center"/>
              <w:rPr>
                <w:sz w:val="18"/>
                <w:szCs w:val="18"/>
              </w:rPr>
            </w:pPr>
            <w:r>
              <w:rPr>
                <w:sz w:val="18"/>
                <w:szCs w:val="18"/>
              </w:rPr>
              <w:t>Μερίδιο εκπομπών από ταξίδια εκτός ΕΟΧ</w:t>
            </w:r>
          </w:p>
        </w:tc>
        <w:tc>
          <w:tcPr>
            <w:tcW w:w="2800" w:type="dxa"/>
            <w:tcMar>
              <w:top w:w="60" w:type="dxa"/>
              <w:left w:w="100" w:type="dxa"/>
              <w:bottom w:w="60" w:type="dxa"/>
              <w:right w:w="100" w:type="dxa"/>
            </w:tcMar>
            <w:vAlign w:val="center"/>
          </w:tcPr>
          <w:p w14:paraId="68D5E5AA" w14:textId="49EA814B" w:rsidR="00DE3C3C" w:rsidRDefault="003C7DFB" w:rsidP="00535231">
            <w:pPr>
              <w:spacing w:after="0" w:line="240" w:lineRule="auto"/>
              <w:jc w:val="center"/>
              <w:rPr>
                <w:sz w:val="18"/>
                <w:szCs w:val="18"/>
              </w:rPr>
            </w:pPr>
            <w:r>
              <w:rPr>
                <w:sz w:val="18"/>
                <w:szCs w:val="18"/>
              </w:rPr>
              <w:t>65</w:t>
            </w:r>
            <w:r w:rsidR="00735275">
              <w:rPr>
                <w:sz w:val="18"/>
                <w:szCs w:val="18"/>
              </w:rPr>
              <w:t>,</w:t>
            </w:r>
            <w:r>
              <w:rPr>
                <w:sz w:val="18"/>
                <w:szCs w:val="18"/>
              </w:rPr>
              <w:t>4% [</w:t>
            </w:r>
            <w:r>
              <w:rPr>
                <w:sz w:val="18"/>
                <w:szCs w:val="18"/>
              </w:rPr>
              <w:fldChar w:fldCharType="begin"/>
            </w:r>
            <w:r>
              <w:rPr>
                <w:sz w:val="18"/>
                <w:szCs w:val="18"/>
              </w:rPr>
              <w:instrText xml:space="preserve"> REF _Ref_cit_4 \h \* MERGEFORMAT </w:instrText>
            </w:r>
            <w:r>
              <w:rPr>
                <w:sz w:val="18"/>
                <w:szCs w:val="18"/>
              </w:rPr>
            </w:r>
            <w:r>
              <w:rPr>
                <w:sz w:val="18"/>
                <w:szCs w:val="18"/>
              </w:rPr>
              <w:fldChar w:fldCharType="separate"/>
            </w:r>
            <w:r w:rsidR="00B0043E" w:rsidRPr="00B0043E">
              <w:rPr>
                <w:sz w:val="18"/>
                <w:szCs w:val="18"/>
              </w:rPr>
              <w:t>4</w:t>
            </w:r>
            <w:r>
              <w:rPr>
                <w:sz w:val="18"/>
                <w:szCs w:val="18"/>
              </w:rPr>
              <w:fldChar w:fldCharType="end"/>
            </w:r>
            <w:r>
              <w:rPr>
                <w:sz w:val="18"/>
                <w:szCs w:val="18"/>
              </w:rPr>
              <w:t>]</w:t>
            </w:r>
          </w:p>
        </w:tc>
        <w:tc>
          <w:tcPr>
            <w:tcW w:w="2540" w:type="dxa"/>
            <w:tcMar>
              <w:top w:w="60" w:type="dxa"/>
              <w:left w:w="100" w:type="dxa"/>
              <w:bottom w:w="60" w:type="dxa"/>
              <w:right w:w="100" w:type="dxa"/>
            </w:tcMar>
            <w:vAlign w:val="center"/>
          </w:tcPr>
          <w:p w14:paraId="70D8AAF5" w14:textId="2CF95A35" w:rsidR="00DE3C3C" w:rsidRDefault="003C7DFB" w:rsidP="00535231">
            <w:pPr>
              <w:spacing w:after="0" w:line="240" w:lineRule="auto"/>
              <w:jc w:val="center"/>
              <w:rPr>
                <w:sz w:val="18"/>
                <w:szCs w:val="18"/>
              </w:rPr>
            </w:pPr>
            <w:r>
              <w:rPr>
                <w:sz w:val="18"/>
                <w:szCs w:val="18"/>
              </w:rPr>
              <w:t>70</w:t>
            </w:r>
            <w:r w:rsidR="00735275">
              <w:rPr>
                <w:sz w:val="18"/>
                <w:szCs w:val="18"/>
              </w:rPr>
              <w:t>,</w:t>
            </w:r>
            <w:r>
              <w:rPr>
                <w:sz w:val="18"/>
                <w:szCs w:val="18"/>
              </w:rPr>
              <w:t>6% [</w:t>
            </w:r>
            <w:r>
              <w:rPr>
                <w:sz w:val="18"/>
                <w:szCs w:val="18"/>
              </w:rPr>
              <w:fldChar w:fldCharType="begin"/>
            </w:r>
            <w:r>
              <w:rPr>
                <w:sz w:val="18"/>
                <w:szCs w:val="18"/>
              </w:rPr>
              <w:instrText xml:space="preserve"> REF _Ref_cit_46 \h \* MERGEFORMAT </w:instrText>
            </w:r>
            <w:r>
              <w:rPr>
                <w:sz w:val="18"/>
                <w:szCs w:val="18"/>
              </w:rPr>
            </w:r>
            <w:r>
              <w:rPr>
                <w:sz w:val="18"/>
                <w:szCs w:val="18"/>
              </w:rPr>
              <w:fldChar w:fldCharType="separate"/>
            </w:r>
            <w:r w:rsidR="00B0043E" w:rsidRPr="00B0043E">
              <w:rPr>
                <w:sz w:val="18"/>
                <w:szCs w:val="18"/>
              </w:rPr>
              <w:t>46</w:t>
            </w:r>
            <w:r>
              <w:rPr>
                <w:sz w:val="18"/>
                <w:szCs w:val="18"/>
              </w:rPr>
              <w:fldChar w:fldCharType="end"/>
            </w:r>
            <w:r>
              <w:rPr>
                <w:sz w:val="18"/>
                <w:szCs w:val="18"/>
              </w:rPr>
              <w:t>]</w:t>
            </w:r>
          </w:p>
        </w:tc>
      </w:tr>
    </w:tbl>
    <w:p w14:paraId="41B4662C" w14:textId="619FA0FC" w:rsidR="00DE3C3C" w:rsidRDefault="003C7DFB">
      <w:pPr>
        <w:spacing w:before="60" w:after="200" w:line="240" w:lineRule="auto"/>
        <w:jc w:val="both"/>
      </w:pPr>
      <w:r>
        <w:rPr>
          <w:i/>
          <w:iCs/>
          <w:sz w:val="18"/>
          <w:szCs w:val="18"/>
        </w:rPr>
        <w:t>Πηγή: Εκθέσεις MRV της Ευρωπαϊκής Επιτροπής [</w:t>
      </w:r>
      <w:r>
        <w:rPr>
          <w:i/>
          <w:iCs/>
          <w:sz w:val="18"/>
          <w:szCs w:val="18"/>
        </w:rPr>
        <w:fldChar w:fldCharType="begin"/>
      </w:r>
      <w:r>
        <w:rPr>
          <w:i/>
          <w:iCs/>
          <w:sz w:val="18"/>
          <w:szCs w:val="18"/>
        </w:rPr>
        <w:instrText xml:space="preserve"> REF _Ref_cit_4 \h \* MERGEFORMAT </w:instrText>
      </w:r>
      <w:r>
        <w:rPr>
          <w:i/>
          <w:iCs/>
          <w:sz w:val="18"/>
          <w:szCs w:val="18"/>
        </w:rPr>
      </w:r>
      <w:r>
        <w:rPr>
          <w:i/>
          <w:iCs/>
          <w:sz w:val="18"/>
          <w:szCs w:val="18"/>
        </w:rPr>
        <w:fldChar w:fldCharType="separate"/>
      </w:r>
      <w:r w:rsidR="00B0043E" w:rsidRPr="00B0043E">
        <w:rPr>
          <w:i/>
          <w:iCs/>
          <w:sz w:val="18"/>
          <w:szCs w:val="18"/>
        </w:rPr>
        <w:t>4</w:t>
      </w:r>
      <w:r>
        <w:rPr>
          <w:i/>
          <w:iCs/>
          <w:sz w:val="18"/>
          <w:szCs w:val="18"/>
        </w:rPr>
        <w:fldChar w:fldCharType="end"/>
      </w:r>
      <w:r>
        <w:rPr>
          <w:i/>
          <w:iCs/>
          <w:sz w:val="18"/>
          <w:szCs w:val="18"/>
        </w:rPr>
        <w:t>], [</w:t>
      </w:r>
      <w:r>
        <w:rPr>
          <w:i/>
          <w:iCs/>
          <w:sz w:val="18"/>
          <w:szCs w:val="18"/>
        </w:rPr>
        <w:fldChar w:fldCharType="begin"/>
      </w:r>
      <w:r>
        <w:rPr>
          <w:i/>
          <w:iCs/>
          <w:sz w:val="18"/>
          <w:szCs w:val="18"/>
        </w:rPr>
        <w:instrText xml:space="preserve"> REF _Ref_cit_46 \h \* MERGEFORMAT </w:instrText>
      </w:r>
      <w:r>
        <w:rPr>
          <w:i/>
          <w:iCs/>
          <w:sz w:val="18"/>
          <w:szCs w:val="18"/>
        </w:rPr>
      </w:r>
      <w:r>
        <w:rPr>
          <w:i/>
          <w:iCs/>
          <w:sz w:val="18"/>
          <w:szCs w:val="18"/>
        </w:rPr>
        <w:fldChar w:fldCharType="separate"/>
      </w:r>
      <w:r w:rsidR="00B0043E" w:rsidRPr="00B0043E">
        <w:rPr>
          <w:i/>
          <w:iCs/>
          <w:sz w:val="18"/>
          <w:szCs w:val="18"/>
        </w:rPr>
        <w:t>46</w:t>
      </w:r>
      <w:r>
        <w:rPr>
          <w:i/>
          <w:iCs/>
          <w:sz w:val="18"/>
          <w:szCs w:val="18"/>
        </w:rPr>
        <w:fldChar w:fldCharType="end"/>
      </w:r>
      <w:r>
        <w:rPr>
          <w:i/>
          <w:iCs/>
          <w:sz w:val="18"/>
          <w:szCs w:val="18"/>
        </w:rPr>
        <w:t>]. Οι τιμές αναπαράγονται όπως δημοσιεύθηκαν· το σύνολο του 2023 αναθεωρήθηκε προς τα πάνω μεταξύ των δύο εκθέσεων.</w:t>
      </w:r>
    </w:p>
    <w:p w14:paraId="344DAF51" w14:textId="2CEBC544" w:rsidR="00DE3C3C" w:rsidRDefault="003C7DFB">
      <w:pPr>
        <w:pStyle w:val="30"/>
      </w:pPr>
      <w:bookmarkStart w:id="144" w:name="_Toc243355315"/>
      <w:r>
        <w:t xml:space="preserve">Εκπομπές ανά τύπο πλοίου και </w:t>
      </w:r>
      <w:r w:rsidR="00685279">
        <w:t>είδος ταξιδιού</w:t>
      </w:r>
      <w:bookmarkEnd w:id="144"/>
    </w:p>
    <w:p w14:paraId="234B8328" w14:textId="7821DA09" w:rsidR="00DE3C3C" w:rsidRDefault="003C7DFB">
      <w:pPr>
        <w:spacing w:line="360" w:lineRule="auto"/>
        <w:ind w:firstLine="576"/>
        <w:jc w:val="both"/>
      </w:pPr>
      <w:r>
        <w:t xml:space="preserve">Η κατανομή των εκπομπών μεταξύ των τύπων πλοίων καθορίζει πού μπορούν τεχνολογίες όπως τα WAPS να έχουν τη μεγαλύτερη συμβολή. Το 2024, τα πλοία μεταφοράς εμπορευματοκιβωτίων αντιστοιχούσαν σε περίπου 53 εκατομμύρια τόνους </w:t>
      </w:r>
      <w:r>
        <w:lastRenderedPageBreak/>
        <w:t>CO₂ (37% του συνόλου), τα δεξαμενόπλοια πετρελαίου σε περίπου 21 εκατομμύρια τόνους και τα φορτηγά πλοία χύδην ξηρού φορτίου σε περίπου 20 εκατομμύρια τόνους, οπότε οι τρεις αυτοί τομείς αντιπροσώπευαν μαζί περίπου το 65% όλων των δηλωθεισών εκπομπών [</w:t>
      </w:r>
      <w:r>
        <w:fldChar w:fldCharType="begin"/>
      </w:r>
      <w:r>
        <w:instrText xml:space="preserve"> REF _Ref_cit_46 \h \* MERGEFORMAT </w:instrText>
      </w:r>
      <w:r>
        <w:fldChar w:fldCharType="separate"/>
      </w:r>
      <w:r w:rsidR="00B0043E" w:rsidRPr="00B0043E">
        <w:t>46</w:t>
      </w:r>
      <w:r>
        <w:fldChar w:fldCharType="end"/>
      </w:r>
      <w:r>
        <w:t xml:space="preserve">]. Η κατανομή συνοψίζεται στον </w:t>
      </w:r>
      <w:r w:rsidRPr="00652D3C">
        <w:rPr>
          <w:b/>
          <w:bCs/>
        </w:rPr>
        <w:t>Πίνακα 4</w:t>
      </w:r>
      <w:r>
        <w:t>. Τα πλοία μεταφοράς εμπορευματοκιβωτίων αποτελούν τη μεγαλύτερη μεμονωμένη πηγή, όμως, όπως σημειώθηκε στο Κεφάλαιο 2, το πυκνά στοιβαγμένο φορτίο καταστρώματος και οι περιορισμοί ύψους (</w:t>
      </w:r>
      <w:proofErr w:type="spellStart"/>
      <w:r>
        <w:t>air</w:t>
      </w:r>
      <w:proofErr w:type="spellEnd"/>
      <w:r>
        <w:t xml:space="preserve"> </w:t>
      </w:r>
      <w:proofErr w:type="spellStart"/>
      <w:r>
        <w:t>draft</w:t>
      </w:r>
      <w:proofErr w:type="spellEnd"/>
      <w:r>
        <w:t>) περιορίζουν τον αριθμό και το ύψος των μονάδων WAPS που μπορούν να εγκατασταθούν. Τα φορτηγά πλοία χύδην ξηρού φορτίου και τα δεξαμενόπλοια, τα οποία εξέπεμψαν μαζί περίπου 41 εκατομμύρια τόνους CO₂ το 2024, διαθέτουν μεγάλες ελεύθερες επιφάνειες καταστρώματος και αποτελούν τους τομείς για τους οποίους ενδείκνυνται περισσότερο τα ιστία-</w:t>
      </w:r>
      <w:proofErr w:type="spellStart"/>
      <w:r>
        <w:t>ρότορες</w:t>
      </w:r>
      <w:proofErr w:type="spellEnd"/>
      <w:r>
        <w:t>, οι πτέρυγες αναρρόφησης και τα άκαμπτα ιστία.</w:t>
      </w:r>
    </w:p>
    <w:p w14:paraId="22F34902" w14:textId="5C603FE3" w:rsidR="00DE3C3C" w:rsidRDefault="003C7DFB">
      <w:pPr>
        <w:pStyle w:val="af2"/>
        <w:keepNext/>
        <w:jc w:val="center"/>
        <w:rPr>
          <w:b/>
          <w:bCs/>
          <w:noProof/>
        </w:rPr>
      </w:pPr>
      <w:r>
        <w:rPr>
          <w:b/>
          <w:bCs/>
        </w:rPr>
        <w:t xml:space="preserve">Πίνακας </w:t>
      </w:r>
      <w:r>
        <w:rPr>
          <w:b/>
          <w:bCs/>
        </w:rPr>
        <w:fldChar w:fldCharType="begin"/>
      </w:r>
      <w:r>
        <w:rPr>
          <w:b/>
          <w:bCs/>
        </w:rPr>
        <w:instrText xml:space="preserve"> SEQ Table \* ARABIC </w:instrText>
      </w:r>
      <w:r>
        <w:rPr>
          <w:b/>
          <w:bCs/>
        </w:rPr>
        <w:fldChar w:fldCharType="separate"/>
      </w:r>
      <w:r w:rsidR="00B0043E">
        <w:rPr>
          <w:b/>
          <w:bCs/>
          <w:noProof/>
        </w:rPr>
        <w:t>4</w:t>
      </w:r>
      <w:r>
        <w:rPr>
          <w:b/>
          <w:bCs/>
        </w:rPr>
        <w:fldChar w:fldCharType="end"/>
      </w:r>
      <w:r>
        <w:rPr>
          <w:b/>
          <w:bCs/>
        </w:rPr>
        <w:t>: Εκπομπές CO₂ που δηλώθηκαν στο πλαίσιο του συστήματος MRV της ΕΕ ανά τύπο πλοίου, έτος αναφοράς 2024.</w:t>
      </w:r>
    </w:p>
    <w:tbl>
      <w:tblPr>
        <w:tblW w:w="8640"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2000"/>
        <w:gridCol w:w="1700"/>
        <w:gridCol w:w="1500"/>
        <w:gridCol w:w="3440"/>
      </w:tblGrid>
      <w:tr w:rsidR="00DE3C3C" w14:paraId="039003DC" w14:textId="77777777">
        <w:trPr>
          <w:cantSplit/>
          <w:tblHeader/>
          <w:jc w:val="center"/>
        </w:trPr>
        <w:tc>
          <w:tcPr>
            <w:tcW w:w="2000" w:type="dxa"/>
            <w:shd w:val="clear" w:color="auto" w:fill="D9D9D9"/>
            <w:tcMar>
              <w:top w:w="60" w:type="dxa"/>
              <w:left w:w="100" w:type="dxa"/>
              <w:bottom w:w="60" w:type="dxa"/>
              <w:right w:w="100" w:type="dxa"/>
            </w:tcMar>
            <w:vAlign w:val="center"/>
          </w:tcPr>
          <w:p w14:paraId="6A44A365" w14:textId="77777777" w:rsidR="00DE3C3C" w:rsidRDefault="003C7DFB" w:rsidP="00535231">
            <w:pPr>
              <w:spacing w:after="0" w:line="240" w:lineRule="auto"/>
              <w:jc w:val="center"/>
              <w:rPr>
                <w:sz w:val="18"/>
                <w:szCs w:val="18"/>
              </w:rPr>
            </w:pPr>
            <w:r>
              <w:rPr>
                <w:b/>
                <w:bCs/>
                <w:sz w:val="18"/>
                <w:szCs w:val="18"/>
              </w:rPr>
              <w:t>Τύπος πλοίου</w:t>
            </w:r>
          </w:p>
        </w:tc>
        <w:tc>
          <w:tcPr>
            <w:tcW w:w="1700" w:type="dxa"/>
            <w:shd w:val="clear" w:color="auto" w:fill="D9D9D9"/>
            <w:tcMar>
              <w:top w:w="60" w:type="dxa"/>
              <w:left w:w="100" w:type="dxa"/>
              <w:bottom w:w="60" w:type="dxa"/>
              <w:right w:w="100" w:type="dxa"/>
            </w:tcMar>
            <w:vAlign w:val="center"/>
          </w:tcPr>
          <w:p w14:paraId="663D5971" w14:textId="77777777" w:rsidR="00DE3C3C" w:rsidRDefault="003C7DFB" w:rsidP="00535231">
            <w:pPr>
              <w:spacing w:after="0" w:line="240" w:lineRule="auto"/>
              <w:jc w:val="center"/>
              <w:rPr>
                <w:sz w:val="18"/>
                <w:szCs w:val="18"/>
              </w:rPr>
            </w:pPr>
            <w:r>
              <w:rPr>
                <w:b/>
                <w:bCs/>
                <w:sz w:val="18"/>
                <w:szCs w:val="18"/>
              </w:rPr>
              <w:t>Εκπομπές CO₂ (</w:t>
            </w:r>
            <w:proofErr w:type="spellStart"/>
            <w:r>
              <w:rPr>
                <w:b/>
                <w:bCs/>
                <w:sz w:val="18"/>
                <w:szCs w:val="18"/>
              </w:rPr>
              <w:t>Mt</w:t>
            </w:r>
            <w:proofErr w:type="spellEnd"/>
            <w:r>
              <w:rPr>
                <w:b/>
                <w:bCs/>
                <w:sz w:val="18"/>
                <w:szCs w:val="18"/>
              </w:rPr>
              <w:t>)</w:t>
            </w:r>
          </w:p>
        </w:tc>
        <w:tc>
          <w:tcPr>
            <w:tcW w:w="1500" w:type="dxa"/>
            <w:shd w:val="clear" w:color="auto" w:fill="D9D9D9"/>
            <w:tcMar>
              <w:top w:w="60" w:type="dxa"/>
              <w:left w:w="100" w:type="dxa"/>
              <w:bottom w:w="60" w:type="dxa"/>
              <w:right w:w="100" w:type="dxa"/>
            </w:tcMar>
            <w:vAlign w:val="center"/>
          </w:tcPr>
          <w:p w14:paraId="5A9D38A3" w14:textId="77777777" w:rsidR="00DE3C3C" w:rsidRDefault="003C7DFB" w:rsidP="00535231">
            <w:pPr>
              <w:spacing w:after="0" w:line="240" w:lineRule="auto"/>
              <w:jc w:val="center"/>
              <w:rPr>
                <w:sz w:val="18"/>
                <w:szCs w:val="18"/>
              </w:rPr>
            </w:pPr>
            <w:r>
              <w:rPr>
                <w:b/>
                <w:bCs/>
                <w:sz w:val="18"/>
                <w:szCs w:val="18"/>
              </w:rPr>
              <w:t>Μερίδιο επί του συνόλου</w:t>
            </w:r>
          </w:p>
        </w:tc>
        <w:tc>
          <w:tcPr>
            <w:tcW w:w="3440" w:type="dxa"/>
            <w:shd w:val="clear" w:color="auto" w:fill="D9D9D9"/>
            <w:tcMar>
              <w:top w:w="60" w:type="dxa"/>
              <w:left w:w="100" w:type="dxa"/>
              <w:bottom w:w="60" w:type="dxa"/>
              <w:right w:w="100" w:type="dxa"/>
            </w:tcMar>
            <w:vAlign w:val="center"/>
          </w:tcPr>
          <w:p w14:paraId="5C92B754" w14:textId="77777777" w:rsidR="00DE3C3C" w:rsidRDefault="003C7DFB" w:rsidP="00535231">
            <w:pPr>
              <w:spacing w:after="0" w:line="240" w:lineRule="auto"/>
              <w:jc w:val="center"/>
              <w:rPr>
                <w:sz w:val="18"/>
                <w:szCs w:val="18"/>
              </w:rPr>
            </w:pPr>
            <w:proofErr w:type="spellStart"/>
            <w:r>
              <w:rPr>
                <w:b/>
                <w:bCs/>
                <w:sz w:val="18"/>
                <w:szCs w:val="18"/>
              </w:rPr>
              <w:t>Καταλληλότητα</w:t>
            </w:r>
            <w:proofErr w:type="spellEnd"/>
            <w:r>
              <w:rPr>
                <w:b/>
                <w:bCs/>
                <w:sz w:val="18"/>
                <w:szCs w:val="18"/>
              </w:rPr>
              <w:t xml:space="preserve"> για WAPS (Κεφάλαιο 2)</w:t>
            </w:r>
          </w:p>
        </w:tc>
      </w:tr>
      <w:tr w:rsidR="00DE3C3C" w14:paraId="67E922A8" w14:textId="77777777">
        <w:trPr>
          <w:cantSplit/>
          <w:jc w:val="center"/>
        </w:trPr>
        <w:tc>
          <w:tcPr>
            <w:tcW w:w="2000" w:type="dxa"/>
            <w:tcMar>
              <w:top w:w="60" w:type="dxa"/>
              <w:left w:w="100" w:type="dxa"/>
              <w:bottom w:w="60" w:type="dxa"/>
              <w:right w:w="100" w:type="dxa"/>
            </w:tcMar>
            <w:vAlign w:val="center"/>
          </w:tcPr>
          <w:p w14:paraId="46F0C971" w14:textId="77777777" w:rsidR="00DE3C3C" w:rsidRDefault="003C7DFB" w:rsidP="00535231">
            <w:pPr>
              <w:spacing w:after="0" w:line="240" w:lineRule="auto"/>
              <w:jc w:val="center"/>
              <w:rPr>
                <w:sz w:val="18"/>
                <w:szCs w:val="18"/>
              </w:rPr>
            </w:pPr>
            <w:r>
              <w:rPr>
                <w:sz w:val="18"/>
                <w:szCs w:val="18"/>
              </w:rPr>
              <w:t>Πλοία μεταφοράς εμπορευματοκιβωτίων</w:t>
            </w:r>
          </w:p>
        </w:tc>
        <w:tc>
          <w:tcPr>
            <w:tcW w:w="1700" w:type="dxa"/>
            <w:tcMar>
              <w:top w:w="60" w:type="dxa"/>
              <w:left w:w="100" w:type="dxa"/>
              <w:bottom w:w="60" w:type="dxa"/>
              <w:right w:w="100" w:type="dxa"/>
            </w:tcMar>
            <w:vAlign w:val="center"/>
          </w:tcPr>
          <w:p w14:paraId="1E6CC893" w14:textId="77777777" w:rsidR="00DE3C3C" w:rsidRDefault="003C7DFB" w:rsidP="00535231">
            <w:pPr>
              <w:spacing w:after="0" w:line="240" w:lineRule="auto"/>
              <w:jc w:val="center"/>
              <w:rPr>
                <w:sz w:val="18"/>
                <w:szCs w:val="18"/>
              </w:rPr>
            </w:pPr>
            <w:r>
              <w:rPr>
                <w:sz w:val="18"/>
                <w:szCs w:val="18"/>
              </w:rPr>
              <w:t>≈ 53</w:t>
            </w:r>
          </w:p>
        </w:tc>
        <w:tc>
          <w:tcPr>
            <w:tcW w:w="1500" w:type="dxa"/>
            <w:tcMar>
              <w:top w:w="60" w:type="dxa"/>
              <w:left w:w="100" w:type="dxa"/>
              <w:bottom w:w="60" w:type="dxa"/>
              <w:right w:w="100" w:type="dxa"/>
            </w:tcMar>
            <w:vAlign w:val="center"/>
          </w:tcPr>
          <w:p w14:paraId="4E575EAE" w14:textId="77777777" w:rsidR="00DE3C3C" w:rsidRDefault="003C7DFB" w:rsidP="00535231">
            <w:pPr>
              <w:spacing w:after="0" w:line="240" w:lineRule="auto"/>
              <w:jc w:val="center"/>
              <w:rPr>
                <w:sz w:val="18"/>
                <w:szCs w:val="18"/>
              </w:rPr>
            </w:pPr>
            <w:r>
              <w:rPr>
                <w:sz w:val="18"/>
                <w:szCs w:val="18"/>
              </w:rPr>
              <w:t>≈ 37%</w:t>
            </w:r>
          </w:p>
        </w:tc>
        <w:tc>
          <w:tcPr>
            <w:tcW w:w="3440" w:type="dxa"/>
            <w:tcMar>
              <w:top w:w="60" w:type="dxa"/>
              <w:left w:w="100" w:type="dxa"/>
              <w:bottom w:w="60" w:type="dxa"/>
              <w:right w:w="100" w:type="dxa"/>
            </w:tcMar>
            <w:vAlign w:val="center"/>
          </w:tcPr>
          <w:p w14:paraId="08D82AA8" w14:textId="77777777" w:rsidR="00DE3C3C" w:rsidRDefault="003C7DFB" w:rsidP="00535231">
            <w:pPr>
              <w:spacing w:after="0" w:line="240" w:lineRule="auto"/>
              <w:jc w:val="center"/>
              <w:rPr>
                <w:sz w:val="18"/>
                <w:szCs w:val="18"/>
              </w:rPr>
            </w:pPr>
            <w:r>
              <w:rPr>
                <w:sz w:val="18"/>
                <w:szCs w:val="18"/>
              </w:rPr>
              <w:t xml:space="preserve">Περιορισμοί λόγω </w:t>
            </w:r>
            <w:proofErr w:type="spellStart"/>
            <w:r>
              <w:rPr>
                <w:sz w:val="18"/>
                <w:szCs w:val="18"/>
              </w:rPr>
              <w:t>στοίβαξης</w:t>
            </w:r>
            <w:proofErr w:type="spellEnd"/>
            <w:r>
              <w:rPr>
                <w:sz w:val="18"/>
                <w:szCs w:val="18"/>
              </w:rPr>
              <w:t xml:space="preserve"> φορτίου και ύψους (</w:t>
            </w:r>
            <w:proofErr w:type="spellStart"/>
            <w:r>
              <w:rPr>
                <w:sz w:val="18"/>
                <w:szCs w:val="18"/>
              </w:rPr>
              <w:t>air</w:t>
            </w:r>
            <w:proofErr w:type="spellEnd"/>
            <w:r>
              <w:rPr>
                <w:sz w:val="18"/>
                <w:szCs w:val="18"/>
              </w:rPr>
              <w:t xml:space="preserve"> </w:t>
            </w:r>
            <w:proofErr w:type="spellStart"/>
            <w:r>
              <w:rPr>
                <w:sz w:val="18"/>
                <w:szCs w:val="18"/>
              </w:rPr>
              <w:t>draft</w:t>
            </w:r>
            <w:proofErr w:type="spellEnd"/>
            <w:r>
              <w:rPr>
                <w:sz w:val="18"/>
                <w:szCs w:val="18"/>
              </w:rPr>
              <w:t>)</w:t>
            </w:r>
          </w:p>
        </w:tc>
      </w:tr>
      <w:tr w:rsidR="00DE3C3C" w14:paraId="3AF74F0F" w14:textId="77777777">
        <w:trPr>
          <w:cantSplit/>
          <w:jc w:val="center"/>
        </w:trPr>
        <w:tc>
          <w:tcPr>
            <w:tcW w:w="2000" w:type="dxa"/>
            <w:tcMar>
              <w:top w:w="60" w:type="dxa"/>
              <w:left w:w="100" w:type="dxa"/>
              <w:bottom w:w="60" w:type="dxa"/>
              <w:right w:w="100" w:type="dxa"/>
            </w:tcMar>
            <w:vAlign w:val="center"/>
          </w:tcPr>
          <w:p w14:paraId="75E366A3" w14:textId="77777777" w:rsidR="00DE3C3C" w:rsidRDefault="003C7DFB" w:rsidP="00535231">
            <w:pPr>
              <w:spacing w:after="0" w:line="240" w:lineRule="auto"/>
              <w:jc w:val="center"/>
              <w:rPr>
                <w:sz w:val="18"/>
                <w:szCs w:val="18"/>
              </w:rPr>
            </w:pPr>
            <w:r>
              <w:rPr>
                <w:sz w:val="18"/>
                <w:szCs w:val="18"/>
              </w:rPr>
              <w:t>Δεξαμενόπλοια πετρελαίου</w:t>
            </w:r>
          </w:p>
        </w:tc>
        <w:tc>
          <w:tcPr>
            <w:tcW w:w="1700" w:type="dxa"/>
            <w:tcMar>
              <w:top w:w="60" w:type="dxa"/>
              <w:left w:w="100" w:type="dxa"/>
              <w:bottom w:w="60" w:type="dxa"/>
              <w:right w:w="100" w:type="dxa"/>
            </w:tcMar>
            <w:vAlign w:val="center"/>
          </w:tcPr>
          <w:p w14:paraId="2FE572BA" w14:textId="77777777" w:rsidR="00DE3C3C" w:rsidRDefault="003C7DFB" w:rsidP="00535231">
            <w:pPr>
              <w:spacing w:after="0" w:line="240" w:lineRule="auto"/>
              <w:jc w:val="center"/>
              <w:rPr>
                <w:sz w:val="18"/>
                <w:szCs w:val="18"/>
              </w:rPr>
            </w:pPr>
            <w:r>
              <w:rPr>
                <w:sz w:val="18"/>
                <w:szCs w:val="18"/>
              </w:rPr>
              <w:t>≈ 21</w:t>
            </w:r>
          </w:p>
        </w:tc>
        <w:tc>
          <w:tcPr>
            <w:tcW w:w="1500" w:type="dxa"/>
            <w:tcMar>
              <w:top w:w="60" w:type="dxa"/>
              <w:left w:w="100" w:type="dxa"/>
              <w:bottom w:w="60" w:type="dxa"/>
              <w:right w:w="100" w:type="dxa"/>
            </w:tcMar>
            <w:vAlign w:val="center"/>
          </w:tcPr>
          <w:p w14:paraId="106F189F" w14:textId="77777777" w:rsidR="00DE3C3C" w:rsidRDefault="003C7DFB" w:rsidP="00535231">
            <w:pPr>
              <w:spacing w:after="0" w:line="240" w:lineRule="auto"/>
              <w:jc w:val="center"/>
              <w:rPr>
                <w:sz w:val="18"/>
                <w:szCs w:val="18"/>
              </w:rPr>
            </w:pPr>
            <w:r>
              <w:rPr>
                <w:sz w:val="18"/>
                <w:szCs w:val="18"/>
              </w:rPr>
              <w:t>≈ 14%</w:t>
            </w:r>
          </w:p>
        </w:tc>
        <w:tc>
          <w:tcPr>
            <w:tcW w:w="3440" w:type="dxa"/>
            <w:tcMar>
              <w:top w:w="60" w:type="dxa"/>
              <w:left w:w="100" w:type="dxa"/>
              <w:bottom w:w="60" w:type="dxa"/>
              <w:right w:w="100" w:type="dxa"/>
            </w:tcMar>
            <w:vAlign w:val="center"/>
          </w:tcPr>
          <w:p w14:paraId="11105771" w14:textId="77777777" w:rsidR="00DE3C3C" w:rsidRDefault="003C7DFB" w:rsidP="00535231">
            <w:pPr>
              <w:spacing w:after="0" w:line="240" w:lineRule="auto"/>
              <w:jc w:val="center"/>
              <w:rPr>
                <w:sz w:val="18"/>
                <w:szCs w:val="18"/>
              </w:rPr>
            </w:pPr>
            <w:r>
              <w:rPr>
                <w:sz w:val="18"/>
                <w:szCs w:val="18"/>
              </w:rPr>
              <w:t>Πολύ κατάλληλα: μεγάλη ελεύθερη επιφάνεια καταστρώματος</w:t>
            </w:r>
          </w:p>
        </w:tc>
      </w:tr>
      <w:tr w:rsidR="00DE3C3C" w14:paraId="4BAA4298" w14:textId="77777777">
        <w:trPr>
          <w:cantSplit/>
          <w:jc w:val="center"/>
        </w:trPr>
        <w:tc>
          <w:tcPr>
            <w:tcW w:w="2000" w:type="dxa"/>
            <w:tcMar>
              <w:top w:w="60" w:type="dxa"/>
              <w:left w:w="100" w:type="dxa"/>
              <w:bottom w:w="60" w:type="dxa"/>
              <w:right w:w="100" w:type="dxa"/>
            </w:tcMar>
            <w:vAlign w:val="center"/>
          </w:tcPr>
          <w:p w14:paraId="3CA0D774" w14:textId="77777777" w:rsidR="00DE3C3C" w:rsidRDefault="003C7DFB" w:rsidP="00535231">
            <w:pPr>
              <w:spacing w:after="0" w:line="240" w:lineRule="auto"/>
              <w:jc w:val="center"/>
              <w:rPr>
                <w:sz w:val="18"/>
                <w:szCs w:val="18"/>
              </w:rPr>
            </w:pPr>
            <w:r>
              <w:rPr>
                <w:sz w:val="18"/>
                <w:szCs w:val="18"/>
              </w:rPr>
              <w:t>Φορτηγά πλοία χύδην ξηρού φορτίου</w:t>
            </w:r>
          </w:p>
        </w:tc>
        <w:tc>
          <w:tcPr>
            <w:tcW w:w="1700" w:type="dxa"/>
            <w:tcMar>
              <w:top w:w="60" w:type="dxa"/>
              <w:left w:w="100" w:type="dxa"/>
              <w:bottom w:w="60" w:type="dxa"/>
              <w:right w:w="100" w:type="dxa"/>
            </w:tcMar>
            <w:vAlign w:val="center"/>
          </w:tcPr>
          <w:p w14:paraId="0176514A" w14:textId="77777777" w:rsidR="00DE3C3C" w:rsidRDefault="003C7DFB" w:rsidP="00535231">
            <w:pPr>
              <w:spacing w:after="0" w:line="240" w:lineRule="auto"/>
              <w:jc w:val="center"/>
              <w:rPr>
                <w:sz w:val="18"/>
                <w:szCs w:val="18"/>
              </w:rPr>
            </w:pPr>
            <w:r>
              <w:rPr>
                <w:sz w:val="18"/>
                <w:szCs w:val="18"/>
              </w:rPr>
              <w:t>≈ 20</w:t>
            </w:r>
          </w:p>
        </w:tc>
        <w:tc>
          <w:tcPr>
            <w:tcW w:w="1500" w:type="dxa"/>
            <w:tcMar>
              <w:top w:w="60" w:type="dxa"/>
              <w:left w:w="100" w:type="dxa"/>
              <w:bottom w:w="60" w:type="dxa"/>
              <w:right w:w="100" w:type="dxa"/>
            </w:tcMar>
            <w:vAlign w:val="center"/>
          </w:tcPr>
          <w:p w14:paraId="331936AF" w14:textId="77777777" w:rsidR="00DE3C3C" w:rsidRDefault="003C7DFB" w:rsidP="00535231">
            <w:pPr>
              <w:spacing w:after="0" w:line="240" w:lineRule="auto"/>
              <w:jc w:val="center"/>
              <w:rPr>
                <w:sz w:val="18"/>
                <w:szCs w:val="18"/>
              </w:rPr>
            </w:pPr>
            <w:r>
              <w:rPr>
                <w:sz w:val="18"/>
                <w:szCs w:val="18"/>
              </w:rPr>
              <w:t>≈ 14%</w:t>
            </w:r>
          </w:p>
        </w:tc>
        <w:tc>
          <w:tcPr>
            <w:tcW w:w="3440" w:type="dxa"/>
            <w:tcMar>
              <w:top w:w="60" w:type="dxa"/>
              <w:left w:w="100" w:type="dxa"/>
              <w:bottom w:w="60" w:type="dxa"/>
              <w:right w:w="100" w:type="dxa"/>
            </w:tcMar>
            <w:vAlign w:val="center"/>
          </w:tcPr>
          <w:p w14:paraId="6953B742" w14:textId="77777777" w:rsidR="00DE3C3C" w:rsidRDefault="003C7DFB" w:rsidP="00535231">
            <w:pPr>
              <w:spacing w:after="0" w:line="240" w:lineRule="auto"/>
              <w:jc w:val="center"/>
              <w:rPr>
                <w:sz w:val="18"/>
                <w:szCs w:val="18"/>
              </w:rPr>
            </w:pPr>
            <w:r>
              <w:rPr>
                <w:sz w:val="18"/>
                <w:szCs w:val="18"/>
              </w:rPr>
              <w:t>Πολύ κατάλληλα: μεγάλη ελεύθερη επιφάνεια καταστρώματος</w:t>
            </w:r>
          </w:p>
        </w:tc>
      </w:tr>
      <w:tr w:rsidR="00DE3C3C" w14:paraId="7F8ABA18" w14:textId="77777777">
        <w:trPr>
          <w:cantSplit/>
          <w:jc w:val="center"/>
        </w:trPr>
        <w:tc>
          <w:tcPr>
            <w:tcW w:w="2000" w:type="dxa"/>
            <w:tcMar>
              <w:top w:w="60" w:type="dxa"/>
              <w:left w:w="100" w:type="dxa"/>
              <w:bottom w:w="60" w:type="dxa"/>
              <w:right w:w="100" w:type="dxa"/>
            </w:tcMar>
            <w:vAlign w:val="center"/>
          </w:tcPr>
          <w:p w14:paraId="5DC99AAE" w14:textId="77777777" w:rsidR="00DE3C3C" w:rsidRDefault="003C7DFB" w:rsidP="00535231">
            <w:pPr>
              <w:spacing w:after="0" w:line="240" w:lineRule="auto"/>
              <w:jc w:val="center"/>
              <w:rPr>
                <w:sz w:val="18"/>
                <w:szCs w:val="18"/>
              </w:rPr>
            </w:pPr>
            <w:r>
              <w:rPr>
                <w:sz w:val="18"/>
                <w:szCs w:val="18"/>
              </w:rPr>
              <w:t>Όλοι οι λοιποί τύποι πλοίων</w:t>
            </w:r>
          </w:p>
        </w:tc>
        <w:tc>
          <w:tcPr>
            <w:tcW w:w="1700" w:type="dxa"/>
            <w:tcMar>
              <w:top w:w="60" w:type="dxa"/>
              <w:left w:w="100" w:type="dxa"/>
              <w:bottom w:w="60" w:type="dxa"/>
              <w:right w:w="100" w:type="dxa"/>
            </w:tcMar>
            <w:vAlign w:val="center"/>
          </w:tcPr>
          <w:p w14:paraId="1A4000C5" w14:textId="77777777" w:rsidR="00DE3C3C" w:rsidRDefault="003C7DFB" w:rsidP="00535231">
            <w:pPr>
              <w:spacing w:after="0" w:line="240" w:lineRule="auto"/>
              <w:jc w:val="center"/>
              <w:rPr>
                <w:sz w:val="18"/>
                <w:szCs w:val="18"/>
              </w:rPr>
            </w:pPr>
            <w:r>
              <w:rPr>
                <w:sz w:val="18"/>
                <w:szCs w:val="18"/>
              </w:rPr>
              <w:t>≈ 51</w:t>
            </w:r>
          </w:p>
        </w:tc>
        <w:tc>
          <w:tcPr>
            <w:tcW w:w="1500" w:type="dxa"/>
            <w:tcMar>
              <w:top w:w="60" w:type="dxa"/>
              <w:left w:w="100" w:type="dxa"/>
              <w:bottom w:w="60" w:type="dxa"/>
              <w:right w:w="100" w:type="dxa"/>
            </w:tcMar>
            <w:vAlign w:val="center"/>
          </w:tcPr>
          <w:p w14:paraId="246A4D33" w14:textId="77777777" w:rsidR="00DE3C3C" w:rsidRDefault="003C7DFB" w:rsidP="00535231">
            <w:pPr>
              <w:spacing w:after="0" w:line="240" w:lineRule="auto"/>
              <w:jc w:val="center"/>
              <w:rPr>
                <w:sz w:val="18"/>
                <w:szCs w:val="18"/>
              </w:rPr>
            </w:pPr>
            <w:r>
              <w:rPr>
                <w:sz w:val="18"/>
                <w:szCs w:val="18"/>
              </w:rPr>
              <w:t>≈ 35%</w:t>
            </w:r>
          </w:p>
        </w:tc>
        <w:tc>
          <w:tcPr>
            <w:tcW w:w="3440" w:type="dxa"/>
            <w:tcMar>
              <w:top w:w="60" w:type="dxa"/>
              <w:left w:w="100" w:type="dxa"/>
              <w:bottom w:w="60" w:type="dxa"/>
              <w:right w:w="100" w:type="dxa"/>
            </w:tcMar>
            <w:vAlign w:val="center"/>
          </w:tcPr>
          <w:p w14:paraId="1D2069E2" w14:textId="77777777" w:rsidR="00DE3C3C" w:rsidRDefault="003C7DFB" w:rsidP="00535231">
            <w:pPr>
              <w:spacing w:after="0" w:line="240" w:lineRule="auto"/>
              <w:jc w:val="center"/>
              <w:rPr>
                <w:sz w:val="18"/>
                <w:szCs w:val="18"/>
              </w:rPr>
            </w:pPr>
            <w:r>
              <w:rPr>
                <w:sz w:val="18"/>
                <w:szCs w:val="18"/>
              </w:rPr>
              <w:t>Διαφέρει ανάλογα με τον τύπο και το λειτουργικό προφίλ</w:t>
            </w:r>
          </w:p>
        </w:tc>
      </w:tr>
      <w:tr w:rsidR="00DE3C3C" w14:paraId="498644D3" w14:textId="77777777">
        <w:trPr>
          <w:cantSplit/>
          <w:jc w:val="center"/>
        </w:trPr>
        <w:tc>
          <w:tcPr>
            <w:tcW w:w="2000" w:type="dxa"/>
            <w:tcMar>
              <w:top w:w="60" w:type="dxa"/>
              <w:left w:w="100" w:type="dxa"/>
              <w:bottom w:w="60" w:type="dxa"/>
              <w:right w:w="100" w:type="dxa"/>
            </w:tcMar>
            <w:vAlign w:val="center"/>
          </w:tcPr>
          <w:p w14:paraId="0812375D" w14:textId="77777777" w:rsidR="00DE3C3C" w:rsidRDefault="003C7DFB" w:rsidP="00535231">
            <w:pPr>
              <w:spacing w:after="0" w:line="240" w:lineRule="auto"/>
              <w:jc w:val="center"/>
              <w:rPr>
                <w:sz w:val="18"/>
                <w:szCs w:val="18"/>
              </w:rPr>
            </w:pPr>
            <w:r>
              <w:rPr>
                <w:sz w:val="18"/>
                <w:szCs w:val="18"/>
              </w:rPr>
              <w:t>Σύνολο</w:t>
            </w:r>
          </w:p>
        </w:tc>
        <w:tc>
          <w:tcPr>
            <w:tcW w:w="1700" w:type="dxa"/>
            <w:tcMar>
              <w:top w:w="60" w:type="dxa"/>
              <w:left w:w="100" w:type="dxa"/>
              <w:bottom w:w="60" w:type="dxa"/>
              <w:right w:w="100" w:type="dxa"/>
            </w:tcMar>
            <w:vAlign w:val="center"/>
          </w:tcPr>
          <w:p w14:paraId="3DE29C03" w14:textId="77777777" w:rsidR="00DE3C3C" w:rsidRDefault="003C7DFB" w:rsidP="00535231">
            <w:pPr>
              <w:spacing w:after="0" w:line="240" w:lineRule="auto"/>
              <w:jc w:val="center"/>
              <w:rPr>
                <w:sz w:val="18"/>
                <w:szCs w:val="18"/>
              </w:rPr>
            </w:pPr>
            <w:r>
              <w:rPr>
                <w:sz w:val="18"/>
                <w:szCs w:val="18"/>
              </w:rPr>
              <w:t>144.9</w:t>
            </w:r>
          </w:p>
        </w:tc>
        <w:tc>
          <w:tcPr>
            <w:tcW w:w="1500" w:type="dxa"/>
            <w:tcMar>
              <w:top w:w="60" w:type="dxa"/>
              <w:left w:w="100" w:type="dxa"/>
              <w:bottom w:w="60" w:type="dxa"/>
              <w:right w:w="100" w:type="dxa"/>
            </w:tcMar>
            <w:vAlign w:val="center"/>
          </w:tcPr>
          <w:p w14:paraId="398805E4" w14:textId="77777777" w:rsidR="00DE3C3C" w:rsidRDefault="003C7DFB" w:rsidP="00535231">
            <w:pPr>
              <w:spacing w:after="0" w:line="240" w:lineRule="auto"/>
              <w:jc w:val="center"/>
              <w:rPr>
                <w:sz w:val="18"/>
                <w:szCs w:val="18"/>
              </w:rPr>
            </w:pPr>
            <w:r>
              <w:rPr>
                <w:sz w:val="18"/>
                <w:szCs w:val="18"/>
              </w:rPr>
              <w:t>100%</w:t>
            </w:r>
          </w:p>
        </w:tc>
        <w:tc>
          <w:tcPr>
            <w:tcW w:w="3440" w:type="dxa"/>
            <w:tcMar>
              <w:top w:w="60" w:type="dxa"/>
              <w:left w:w="100" w:type="dxa"/>
              <w:bottom w:w="60" w:type="dxa"/>
              <w:right w:w="100" w:type="dxa"/>
            </w:tcMar>
            <w:vAlign w:val="center"/>
          </w:tcPr>
          <w:p w14:paraId="3256DDC3" w14:textId="77777777" w:rsidR="00DE3C3C" w:rsidRDefault="00DE3C3C" w:rsidP="00535231">
            <w:pPr>
              <w:spacing w:after="0" w:line="240" w:lineRule="auto"/>
              <w:jc w:val="center"/>
              <w:rPr>
                <w:sz w:val="18"/>
                <w:szCs w:val="18"/>
              </w:rPr>
            </w:pPr>
          </w:p>
        </w:tc>
      </w:tr>
    </w:tbl>
    <w:p w14:paraId="3F0B3B54" w14:textId="214D129A" w:rsidR="00DE3C3C" w:rsidRDefault="003C7DFB">
      <w:pPr>
        <w:spacing w:before="60" w:after="200" w:line="240" w:lineRule="auto"/>
        <w:jc w:val="both"/>
      </w:pPr>
      <w:r>
        <w:rPr>
          <w:i/>
          <w:iCs/>
          <w:sz w:val="18"/>
          <w:szCs w:val="18"/>
        </w:rPr>
        <w:t>Πηγή: Ευρωπαϊκή Επιτροπή [</w:t>
      </w:r>
      <w:r>
        <w:rPr>
          <w:i/>
          <w:iCs/>
          <w:sz w:val="18"/>
          <w:szCs w:val="18"/>
        </w:rPr>
        <w:fldChar w:fldCharType="begin"/>
      </w:r>
      <w:r>
        <w:rPr>
          <w:i/>
          <w:iCs/>
          <w:sz w:val="18"/>
          <w:szCs w:val="18"/>
        </w:rPr>
        <w:instrText xml:space="preserve"> REF _Ref_cit_46 \h \* MERGEFORMAT </w:instrText>
      </w:r>
      <w:r>
        <w:rPr>
          <w:i/>
          <w:iCs/>
          <w:sz w:val="18"/>
          <w:szCs w:val="18"/>
        </w:rPr>
      </w:r>
      <w:r>
        <w:rPr>
          <w:i/>
          <w:iCs/>
          <w:sz w:val="18"/>
          <w:szCs w:val="18"/>
        </w:rPr>
        <w:fldChar w:fldCharType="separate"/>
      </w:r>
      <w:r w:rsidR="00B0043E" w:rsidRPr="00B0043E">
        <w:rPr>
          <w:i/>
          <w:iCs/>
          <w:sz w:val="18"/>
          <w:szCs w:val="18"/>
        </w:rPr>
        <w:t>46</w:t>
      </w:r>
      <w:r>
        <w:rPr>
          <w:i/>
          <w:iCs/>
          <w:sz w:val="18"/>
          <w:szCs w:val="18"/>
        </w:rPr>
        <w:fldChar w:fldCharType="end"/>
      </w:r>
      <w:r>
        <w:rPr>
          <w:i/>
          <w:iCs/>
          <w:sz w:val="18"/>
          <w:szCs w:val="18"/>
        </w:rPr>
        <w:t>]· τα μερίδια των δεξαμενόπλοιων, των φορτηγών πλοίων χύδην ξηρού φορτίου και των λοιπών τύπων υπολογίστηκαν από τον συγγραφέα με βάση τις τιμές που αναφέρονται στην [</w:t>
      </w:r>
      <w:r>
        <w:rPr>
          <w:i/>
          <w:iCs/>
          <w:sz w:val="18"/>
          <w:szCs w:val="18"/>
        </w:rPr>
        <w:fldChar w:fldCharType="begin"/>
      </w:r>
      <w:r>
        <w:rPr>
          <w:i/>
          <w:iCs/>
          <w:sz w:val="18"/>
          <w:szCs w:val="18"/>
        </w:rPr>
        <w:instrText xml:space="preserve"> REF _Ref_cit_46 \h \* MERGEFORMAT </w:instrText>
      </w:r>
      <w:r>
        <w:rPr>
          <w:i/>
          <w:iCs/>
          <w:sz w:val="18"/>
          <w:szCs w:val="18"/>
        </w:rPr>
      </w:r>
      <w:r>
        <w:rPr>
          <w:i/>
          <w:iCs/>
          <w:sz w:val="18"/>
          <w:szCs w:val="18"/>
        </w:rPr>
        <w:fldChar w:fldCharType="separate"/>
      </w:r>
      <w:r w:rsidR="00B0043E" w:rsidRPr="00B0043E">
        <w:rPr>
          <w:i/>
          <w:iCs/>
          <w:sz w:val="18"/>
          <w:szCs w:val="18"/>
        </w:rPr>
        <w:t>46</w:t>
      </w:r>
      <w:r>
        <w:rPr>
          <w:i/>
          <w:iCs/>
          <w:sz w:val="18"/>
          <w:szCs w:val="18"/>
        </w:rPr>
        <w:fldChar w:fldCharType="end"/>
      </w:r>
      <w:r>
        <w:rPr>
          <w:i/>
          <w:iCs/>
          <w:sz w:val="18"/>
          <w:szCs w:val="18"/>
        </w:rPr>
        <w:t xml:space="preserve">] και είναι κατά προσέγγιση. Η ποιοτική αξιολόγηση της </w:t>
      </w:r>
      <w:proofErr w:type="spellStart"/>
      <w:r>
        <w:rPr>
          <w:i/>
          <w:iCs/>
          <w:sz w:val="18"/>
          <w:szCs w:val="18"/>
        </w:rPr>
        <w:t>καταλληλότητας</w:t>
      </w:r>
      <w:proofErr w:type="spellEnd"/>
      <w:r>
        <w:rPr>
          <w:i/>
          <w:iCs/>
          <w:sz w:val="18"/>
          <w:szCs w:val="18"/>
        </w:rPr>
        <w:t xml:space="preserve"> συνοψίζει την Ενότητα 2.2.</w:t>
      </w:r>
    </w:p>
    <w:p w14:paraId="2CEFD5D7" w14:textId="2F02E1C1" w:rsidR="00DE3C3C" w:rsidRDefault="003C7DFB">
      <w:pPr>
        <w:spacing w:line="360" w:lineRule="auto"/>
        <w:ind w:firstLine="576"/>
        <w:jc w:val="both"/>
      </w:pPr>
      <w:r>
        <w:t xml:space="preserve">Η κατανομή ανά </w:t>
      </w:r>
      <w:r w:rsidR="00321E23">
        <w:t>είδος ταξιδιού</w:t>
      </w:r>
      <w:r>
        <w:t xml:space="preserve"> είναι εξίσου σημαντική, διότι καθορίζει ποιο μέρος των δηλωθεισών εκπομπών εμπίπτει στο πεδίο εφαρμογής των ευρωπαϊκών εργαλείων τιμολόγησης του άνθρακα. Το 2024, το 70</w:t>
      </w:r>
      <w:r w:rsidR="00321E23">
        <w:t>,</w:t>
      </w:r>
      <w:r>
        <w:t>6% των δηλωθεισών εκπομπών προήλθε από ταξίδια μεταξύ λιμένα του ΕΟΧ και λιμένα εκτός ΕΟΧ (αύξηση 4</w:t>
      </w:r>
      <w:r w:rsidR="002E0EDE">
        <w:t>,</w:t>
      </w:r>
      <w:r>
        <w:t>9 ποσοστιαίων μονάδων σε σχέση με το 2023), ενώ τα ταξίδια εντός ΕΟΧ και οι εκπομπές στην προβλήτα αντιπροσώπευαν μαζί το ιστορικά χαμηλό ποσοστό του 29</w:t>
      </w:r>
      <w:r w:rsidR="002E0EDE">
        <w:t>,</w:t>
      </w:r>
      <w:r>
        <w:t>4% [</w:t>
      </w:r>
      <w:r>
        <w:fldChar w:fldCharType="begin"/>
      </w:r>
      <w:r>
        <w:instrText xml:space="preserve"> REF _Ref_cit_46 \h \* MERGEFORMAT </w:instrText>
      </w:r>
      <w:r>
        <w:fldChar w:fldCharType="separate"/>
      </w:r>
      <w:r w:rsidR="00B0043E" w:rsidRPr="00B0043E">
        <w:t>46</w:t>
      </w:r>
      <w:r>
        <w:fldChar w:fldCharType="end"/>
      </w:r>
      <w:r>
        <w:t xml:space="preserve">]. Δεδομένου ότι το EU ETS καλύπτει το 100% των εκπομπών εντός ΕΟΧ και στην προβλήτα, αλλά μόνο το 50% των εκπομπών από ταξίδια εκτός ΕΟΧ (Ενότητα 4.4.2), ένας προσεγγιστικός υπολογισμός του συγγραφέα υποδεικνύει ότι περίπου το 65% των εκπομπών που δηλώνονται </w:t>
      </w:r>
      <w:r w:rsidR="00CE5F15">
        <w:t xml:space="preserve">με </w:t>
      </w:r>
      <w:r>
        <w:t>το</w:t>
      </w:r>
      <w:r w:rsidR="00CE5F15">
        <w:t>ν</w:t>
      </w:r>
      <w:r>
        <w:t xml:space="preserve"> MRV, ή περίπου 94 </w:t>
      </w:r>
      <w:r>
        <w:lastRenderedPageBreak/>
        <w:t>εκατομμύρια τόνοι CO₂, εμπίπτουν στο πεδίο εφαρμογής του ETS κατά την πλήρη εφαρμογή του (29</w:t>
      </w:r>
      <w:r w:rsidR="0021151C">
        <w:t>,</w:t>
      </w:r>
      <w:r>
        <w:t>4% + 0</w:t>
      </w:r>
      <w:r w:rsidR="00075ADF">
        <w:t>,</w:t>
      </w:r>
      <w:r>
        <w:t>5 × 70</w:t>
      </w:r>
      <w:r w:rsidR="00075ADF">
        <w:t>,</w:t>
      </w:r>
      <w:r>
        <w:t>6% ≈ 64</w:t>
      </w:r>
      <w:r w:rsidR="00075ADF">
        <w:t>,</w:t>
      </w:r>
      <w:r>
        <w:t xml:space="preserve">7% των 144.9 </w:t>
      </w:r>
      <w:proofErr w:type="spellStart"/>
      <w:r>
        <w:t>Mt</w:t>
      </w:r>
      <w:proofErr w:type="spellEnd"/>
      <w:r>
        <w:t>). Η εκτίμηση αυτή αγνοεί την αντιμετώπιση ειδικών κατηγοριών ταξιδιών και πρέπει να θεωρείται μόνο ως ένδειξη τάξης μεγέθους. Η συνέπεια για τα WAPS είναι ότι η κανονιστική αξία της εξοικονόμησης καυσίμου εξαρτάται από το εμπορικό πρότυπο του πλοίου: ένα πλοίο που δραστηριοποιείται αποκλειστικά εντός Ευρώπης λαμβάνει το πλήρες σήμα της τιμής άνθρακα για κάθε τόνο καυσίμου που εξοικονομεί, ενώ ένα πλοίο σε μακρινή διηπειρωτική διαδρομή το λαμβάνει για το ήμισυ της κατανάλωσης που σχετίζεται με το ταξίδι.</w:t>
      </w:r>
    </w:p>
    <w:p w14:paraId="07EB6829" w14:textId="77777777" w:rsidR="00DE3C3C" w:rsidRDefault="003C7DFB">
      <w:pPr>
        <w:pStyle w:val="30"/>
      </w:pPr>
      <w:bookmarkStart w:id="145" w:name="_Toc243355316"/>
      <w:r>
        <w:t>Μείγμα καυσίμων</w:t>
      </w:r>
      <w:bookmarkEnd w:id="145"/>
    </w:p>
    <w:p w14:paraId="6D079235" w14:textId="0D4F4D50" w:rsidR="00DE3C3C" w:rsidRDefault="003C7DFB">
      <w:pPr>
        <w:spacing w:line="360" w:lineRule="auto"/>
        <w:ind w:firstLine="576"/>
        <w:jc w:val="both"/>
      </w:pPr>
      <w:r>
        <w:t>Τα δεδομένα του 2024 επιβεβαιώνουν ότι ο ευρωπαϊκός ναυτιλιακός στόλος εξακολουθεί να εξαρτάται σχεδόν αποκλειστικά από τα ορυκτά καύσιμα. Το βαρύ μαζούτ, το ελαφρύ μαζούτ και το ναυτιλιακό πετρέλαιο αντιπροσώπευαν μαζί το 91</w:t>
      </w:r>
      <w:r w:rsidR="00BF191C">
        <w:t>,</w:t>
      </w:r>
      <w:r>
        <w:t>4% του καυσίμου που καταναλώθηκε κατά μάζα, το υγροποιημένο φυσικό αέριο το 7</w:t>
      </w:r>
      <w:r w:rsidR="00BF191C">
        <w:t>,</w:t>
      </w:r>
      <w:r>
        <w:t xml:space="preserve">5% και η </w:t>
      </w:r>
      <w:proofErr w:type="spellStart"/>
      <w:r>
        <w:t>μεθανόλη</w:t>
      </w:r>
      <w:proofErr w:type="spellEnd"/>
      <w:r>
        <w:t xml:space="preserve"> μόλις το 0</w:t>
      </w:r>
      <w:r w:rsidR="00BF191C">
        <w:t>,</w:t>
      </w:r>
      <w:r>
        <w:t>1% (περίπου 37</w:t>
      </w:r>
      <w:r w:rsidR="00BF191C">
        <w:t>.</w:t>
      </w:r>
      <w:r>
        <w:t xml:space="preserve">000 τόνοι, αν και αυτό αποτελούσε απότομη αύξηση σε σχέση με το 2023). Τα </w:t>
      </w:r>
      <w:proofErr w:type="spellStart"/>
      <w:r>
        <w:t>βιοκαύσιμα</w:t>
      </w:r>
      <w:proofErr w:type="spellEnd"/>
      <w:r>
        <w:t xml:space="preserve">, κυρίως </w:t>
      </w:r>
      <w:proofErr w:type="spellStart"/>
      <w:r>
        <w:t>βιοντίζελ</w:t>
      </w:r>
      <w:proofErr w:type="spellEnd"/>
      <w:r>
        <w:t>, ανήλθαν σε περίπου 0</w:t>
      </w:r>
      <w:r w:rsidR="00BF191C">
        <w:t>,</w:t>
      </w:r>
      <w:r>
        <w:t>22 εκατομμύρια τόνους [</w:t>
      </w:r>
      <w:r>
        <w:fldChar w:fldCharType="begin"/>
      </w:r>
      <w:r>
        <w:instrText xml:space="preserve"> REF _Ref_cit_46 \h \* MERGEFORMAT </w:instrText>
      </w:r>
      <w:r>
        <w:fldChar w:fldCharType="separate"/>
      </w:r>
      <w:r w:rsidR="00B0043E" w:rsidRPr="00B0043E">
        <w:t>46</w:t>
      </w:r>
      <w:r>
        <w:fldChar w:fldCharType="end"/>
      </w:r>
      <w:r>
        <w:t>]. Τα στοιχεία αυτά συμφωνούν με την ανάλυση τιμών καυσίμων της Ενότητας 1.1.6, η οποία έδειξε ότι τα εναλλακτικά καύσιμα έχουν σημαντική διαφορά τιμής έναντι του VLSFO σε όλες τις κύριες περιοχές εφοδιασμού. Δείχνουν επίσης ότι, για το ορατό μέλλον, η μείωση των εκπομπών που μπορεί να επιτευχθεί μέσω τεχνολογιών που μειώνουν την κατανάλωση συμβατικού καυσίμου παραμένει άμεσα επίκαιρη. Η έκθεση του 2024 καταγράφει ότι 9</w:t>
      </w:r>
      <w:r w:rsidR="00BF191C">
        <w:t>.</w:t>
      </w:r>
      <w:r>
        <w:t>286 πλοία δήλωσαν επιτευχθείσα τιμή EEXI (52% περισσότερα από το 2023) [</w:t>
      </w:r>
      <w:r>
        <w:fldChar w:fldCharType="begin"/>
      </w:r>
      <w:r>
        <w:instrText xml:space="preserve"> REF _Ref_cit_46 \h \* MERGEFORMAT </w:instrText>
      </w:r>
      <w:r>
        <w:fldChar w:fldCharType="separate"/>
      </w:r>
      <w:r w:rsidR="00B0043E" w:rsidRPr="00B0043E">
        <w:t>46</w:t>
      </w:r>
      <w:r>
        <w:fldChar w:fldCharType="end"/>
      </w:r>
      <w:r>
        <w:t>], γεγονός που δείχνει ότι το πλαίσιο σχεδιαστικής απόδοσης του IMO της Ενότητας 4.5 έχει πλέον ενσωματωθεί στην πρακτική υποβολής στοιχείων του στόλου. Η έκθεση δεν εξετάζει χωριστά την αιολική υποβοήθηση της πρόωσης, γεγονός που υποδηλώνει ότι οι εγκαταστάσεις WAPS δεν είναι ακόμη αρκετά πολυάριθμες ώστε να εμφανίζονται ως διακριτή κατηγορία στις ευρωπαϊκές στατιστικές εκπομπών.</w:t>
      </w:r>
    </w:p>
    <w:p w14:paraId="5680E6A0" w14:textId="77777777" w:rsidR="00DE3C3C" w:rsidRDefault="003C7DFB">
      <w:pPr>
        <w:pStyle w:val="20"/>
      </w:pPr>
      <w:bookmarkStart w:id="146" w:name="_Toc243355317"/>
      <w:r>
        <w:t>Το ευρωπαϊκό κανονιστικό πλαίσιο</w:t>
      </w:r>
      <w:bookmarkEnd w:id="146"/>
    </w:p>
    <w:p w14:paraId="1F963F01" w14:textId="77777777" w:rsidR="00DE3C3C" w:rsidRDefault="003C7DFB">
      <w:pPr>
        <w:pStyle w:val="30"/>
      </w:pPr>
      <w:bookmarkStart w:id="147" w:name="_Toc243355318"/>
      <w:r>
        <w:t>Ο Κανονισμός MRV της ΕΕ</w:t>
      </w:r>
      <w:bookmarkEnd w:id="147"/>
    </w:p>
    <w:p w14:paraId="61FBDE68" w14:textId="0B91B7E6" w:rsidR="00DE3C3C" w:rsidRDefault="003C7DFB">
      <w:pPr>
        <w:spacing w:line="360" w:lineRule="auto"/>
        <w:ind w:firstLine="576"/>
        <w:jc w:val="both"/>
      </w:pPr>
      <w:r>
        <w:t>Ο Κανονισμός (ΕΕ) 2015/757 [</w:t>
      </w:r>
      <w:r>
        <w:fldChar w:fldCharType="begin"/>
      </w:r>
      <w:r>
        <w:instrText xml:space="preserve"> REF _Ref_cit_47 \h \* MERGEFORMAT </w:instrText>
      </w:r>
      <w:r>
        <w:fldChar w:fldCharType="separate"/>
      </w:r>
      <w:r w:rsidR="00B0043E" w:rsidRPr="00B0043E">
        <w:t>47</w:t>
      </w:r>
      <w:r>
        <w:fldChar w:fldCharType="end"/>
      </w:r>
      <w:r>
        <w:t>] τροποποιήθηκε με τον Κανονισμό (ΕΕ) 2023/957 [</w:t>
      </w:r>
      <w:r>
        <w:fldChar w:fldCharType="begin"/>
      </w:r>
      <w:r>
        <w:instrText xml:space="preserve"> REF _Ref_cit_48 \h \* MERGEFORMAT </w:instrText>
      </w:r>
      <w:r>
        <w:fldChar w:fldCharType="separate"/>
      </w:r>
      <w:r w:rsidR="00B0043E" w:rsidRPr="00B0043E">
        <w:t>48</w:t>
      </w:r>
      <w:r>
        <w:fldChar w:fldCharType="end"/>
      </w:r>
      <w:r>
        <w:t xml:space="preserve">], ώστε το σύστημα MRV να ευθυγραμμιστεί με την επέκταση του ETS </w:t>
      </w:r>
      <w:r>
        <w:lastRenderedPageBreak/>
        <w:t>στη ναυτιλία. Οι τροποποιήσεις επεκτείνουν την υποχρέωση υποβολής στοιχείων το</w:t>
      </w:r>
      <w:r w:rsidR="007C6FC2">
        <w:t>υ</w:t>
      </w:r>
      <w:r>
        <w:t xml:space="preserve"> CO₂ μόνο και στο μεθάνιο και το </w:t>
      </w:r>
      <w:proofErr w:type="spellStart"/>
      <w:r>
        <w:t>υποξείδιο</w:t>
      </w:r>
      <w:proofErr w:type="spellEnd"/>
      <w:r>
        <w:t xml:space="preserve"> του αζώτου, από το έτος αναφοράς 2024, και διευρύνουν το πεδίο εφαρμογής πέρα από τα φορτηγά και επιβατηγά πλοία άνω των 5</w:t>
      </w:r>
      <w:r w:rsidR="00880593">
        <w:t>.</w:t>
      </w:r>
      <w:r>
        <w:t xml:space="preserve">000 GT, ώστε να περιλαμβάνει τα </w:t>
      </w:r>
      <w:proofErr w:type="spellStart"/>
      <w:r>
        <w:t>υπεράκτια</w:t>
      </w:r>
      <w:proofErr w:type="spellEnd"/>
      <w:r>
        <w:t xml:space="preserve"> πλοία άνω των 5</w:t>
      </w:r>
      <w:r w:rsidR="00880593">
        <w:t>.</w:t>
      </w:r>
      <w:r>
        <w:t xml:space="preserve">000 GT και, από το 2025, τα πλοία γενικού φορτίου και τα </w:t>
      </w:r>
      <w:proofErr w:type="spellStart"/>
      <w:r>
        <w:t>υπεράκτια</w:t>
      </w:r>
      <w:proofErr w:type="spellEnd"/>
      <w:r>
        <w:t xml:space="preserve"> πλοία μεταξύ 400 και 5</w:t>
      </w:r>
      <w:r w:rsidR="008067CF">
        <w:t>.</w:t>
      </w:r>
      <w:r>
        <w:t>000 GT [</w:t>
      </w:r>
      <w:r>
        <w:fldChar w:fldCharType="begin"/>
      </w:r>
      <w:r>
        <w:instrText xml:space="preserve"> REF _Ref_cit_52 \h \* MERGEFORMAT </w:instrText>
      </w:r>
      <w:r>
        <w:fldChar w:fldCharType="separate"/>
      </w:r>
      <w:r w:rsidR="00B0043E" w:rsidRPr="00B0043E">
        <w:t>52</w:t>
      </w:r>
      <w:r>
        <w:fldChar w:fldCharType="end"/>
      </w:r>
      <w:r>
        <w:t>]. Οι προκαθορισμένοι συντελεστές εκπομπών CO₂ του Κανονισμού, για παράδειγμα 3</w:t>
      </w:r>
      <w:r w:rsidR="0024111E">
        <w:t>,</w:t>
      </w:r>
      <w:r>
        <w:t xml:space="preserve">114 τόνοι CO₂ ανά τόνο </w:t>
      </w:r>
      <w:proofErr w:type="spellStart"/>
      <w:r>
        <w:t>βαρέος</w:t>
      </w:r>
      <w:proofErr w:type="spellEnd"/>
      <w:r>
        <w:t xml:space="preserve"> μαζούτ</w:t>
      </w:r>
      <w:r w:rsidR="00FD1595">
        <w:t xml:space="preserve"> (</w:t>
      </w:r>
      <w:r w:rsidR="00FD1595">
        <w:rPr>
          <w:lang w:val="en-US"/>
        </w:rPr>
        <w:t>HFO</w:t>
      </w:r>
      <w:r w:rsidR="00FD1595" w:rsidRPr="00B376A2">
        <w:t>)</w:t>
      </w:r>
      <w:r>
        <w:t>, παρέχουν τη μετατροπή από το καταναλωθέν καύσιμο σε εκπομπές που χρησιμοποιείται στους υπολογισμούς της Ενότητας 4.10 [</w:t>
      </w:r>
      <w:r>
        <w:fldChar w:fldCharType="begin"/>
      </w:r>
      <w:r>
        <w:instrText xml:space="preserve"> REF _Ref_cit_47 \h \* MERGEFORMAT </w:instrText>
      </w:r>
      <w:r>
        <w:fldChar w:fldCharType="separate"/>
      </w:r>
      <w:r w:rsidR="00B0043E" w:rsidRPr="00B0043E">
        <w:t>47</w:t>
      </w:r>
      <w:r>
        <w:fldChar w:fldCharType="end"/>
      </w:r>
      <w:r>
        <w:t>]. Για τα WAPS, η σημασία του συστήματος MRV έγκειται στο ότι μετρά το καύσιμο που πράγματι καταναλώνεται: κάθε μείωση της κατανάλωσης καυσίμου της κύριας μηχανής που επιτυγχάνεται από το σύστημα αιολικής υποβοήθησης της πρόωσης αποτυπώνεται επομένως αυτόματα στις δηλωθείσες εκπομπές και, κατά συνέπεια, στην υποχρέωση στο πλαίσιο του ETS, χωρίς χωριστή πιστοποίηση της συμβολής του WAPS.</w:t>
      </w:r>
    </w:p>
    <w:p w14:paraId="16901BD8" w14:textId="0316629D" w:rsidR="00DE3C3C" w:rsidRDefault="003C7DFB">
      <w:pPr>
        <w:pStyle w:val="30"/>
      </w:pPr>
      <w:bookmarkStart w:id="148" w:name="_Toc243355319"/>
      <w:r>
        <w:t>Το Σύστημα Εμπορίας Δικαιωμάτων Εκπομπών της ΕΕ για τις θαλάσσιες μεταφορές</w:t>
      </w:r>
      <w:r w:rsidR="00F653FF">
        <w:t xml:space="preserve"> (</w:t>
      </w:r>
      <w:r w:rsidR="00F653FF">
        <w:rPr>
          <w:lang w:val="en-US"/>
        </w:rPr>
        <w:t>EU</w:t>
      </w:r>
      <w:r w:rsidR="00F653FF" w:rsidRPr="00F653FF">
        <w:t xml:space="preserve"> </w:t>
      </w:r>
      <w:r w:rsidR="00F653FF">
        <w:rPr>
          <w:lang w:val="en-US"/>
        </w:rPr>
        <w:t>ETS</w:t>
      </w:r>
      <w:r w:rsidR="00F653FF" w:rsidRPr="00F653FF">
        <w:t>)</w:t>
      </w:r>
      <w:bookmarkEnd w:id="148"/>
    </w:p>
    <w:p w14:paraId="3188DBB3" w14:textId="2638196C" w:rsidR="00DE3C3C" w:rsidRDefault="003C7DFB">
      <w:pPr>
        <w:spacing w:line="360" w:lineRule="auto"/>
        <w:ind w:firstLine="576"/>
        <w:jc w:val="both"/>
      </w:pPr>
      <w:r>
        <w:t>Η Οδηγία (ΕΕ) 2023/959 [</w:t>
      </w:r>
      <w:r>
        <w:fldChar w:fldCharType="begin"/>
      </w:r>
      <w:r>
        <w:instrText xml:space="preserve"> REF _Ref_cit_49 \h \* MERGEFORMAT </w:instrText>
      </w:r>
      <w:r>
        <w:fldChar w:fldCharType="separate"/>
      </w:r>
      <w:r w:rsidR="00B0043E" w:rsidRPr="00B0043E">
        <w:t>49</w:t>
      </w:r>
      <w:r>
        <w:fldChar w:fldCharType="end"/>
      </w:r>
      <w:r>
        <w:t>] επέκτεινε το EU ETS στις θαλάσσιες μεταφορές. Η υποχρέωση</w:t>
      </w:r>
      <w:r w:rsidR="00B376A2">
        <w:t xml:space="preserve"> αυτή</w:t>
      </w:r>
      <w:r>
        <w:t xml:space="preserve"> βαρύνει τη ναυτιλιακή εταιρεία, όπως αυτή ορίζεται στον Κανονισμό MRV, για πλοία 5</w:t>
      </w:r>
      <w:r w:rsidR="00B376A2">
        <w:t>.</w:t>
      </w:r>
      <w:r>
        <w:t>000 GT και άνω. Η υποχρέωση καλύπτει το 100% των εκπομπών από ταξίδια μεταξύ λιμένων της ΕΕ και από τον χρόνο παραμονής στην προβλήτα σε λιμένες της ΕΕ, καθώς και το 50% των εκπομπών από ταξίδια που αρχίζουν ή τελειώνουν εκτός ΕΕ, ενώ η αντιμετώπιση του υπόλοιπου μεριδίου αφήνεται σε τρίτες χώρες [</w:t>
      </w:r>
      <w:r>
        <w:fldChar w:fldCharType="begin"/>
      </w:r>
      <w:r>
        <w:instrText xml:space="preserve"> REF _Ref_cit_51 \h \* MERGEFORMAT </w:instrText>
      </w:r>
      <w:r>
        <w:fldChar w:fldCharType="separate"/>
      </w:r>
      <w:r w:rsidR="00B0043E" w:rsidRPr="00B0043E">
        <w:t>51</w:t>
      </w:r>
      <w:r>
        <w:fldChar w:fldCharType="end"/>
      </w:r>
      <w:r>
        <w:t>], [</w:t>
      </w:r>
      <w:r>
        <w:fldChar w:fldCharType="begin"/>
      </w:r>
      <w:r>
        <w:instrText xml:space="preserve"> REF _Ref_cit_52 \h \* MERGEFORMAT </w:instrText>
      </w:r>
      <w:r>
        <w:fldChar w:fldCharType="separate"/>
      </w:r>
      <w:r w:rsidR="00B0043E" w:rsidRPr="00B0043E">
        <w:t>52</w:t>
      </w:r>
      <w:r>
        <w:fldChar w:fldCharType="end"/>
      </w:r>
      <w:r>
        <w:t>]. Η ένταξη εισήχθη σταδιακά. Οι ναυτιλιακές εταιρείες υποχρεούνταν να παραδώσουν δικαιώματα για το 40% των επαληθευμένων εκπομπών τους του 2024, το 70% των εκπομπών τους του 2025 και το 100% των εκπομπών τους από το 2026 και μετά [</w:t>
      </w:r>
      <w:r>
        <w:fldChar w:fldCharType="begin"/>
      </w:r>
      <w:r>
        <w:instrText xml:space="preserve"> REF _Ref_cit_51 \h \* MERGEFORMAT </w:instrText>
      </w:r>
      <w:r>
        <w:fldChar w:fldCharType="separate"/>
      </w:r>
      <w:r w:rsidR="00B0043E" w:rsidRPr="00B0043E">
        <w:t>51</w:t>
      </w:r>
      <w:r>
        <w:fldChar w:fldCharType="end"/>
      </w:r>
      <w:r>
        <w:t xml:space="preserve">]. Κατά τα δύο πρώτα έτη το ETS κάλυπτε μόνο το CO₂, ενώ το μεθάνιο και το </w:t>
      </w:r>
      <w:proofErr w:type="spellStart"/>
      <w:r>
        <w:t>υποξείδιο</w:t>
      </w:r>
      <w:proofErr w:type="spellEnd"/>
      <w:r>
        <w:t xml:space="preserve"> του αζώτου προστίθενται από το 2026 [</w:t>
      </w:r>
      <w:r>
        <w:fldChar w:fldCharType="begin"/>
      </w:r>
      <w:r>
        <w:instrText xml:space="preserve"> REF _Ref_cit_51 \h \* MERGEFORMAT </w:instrText>
      </w:r>
      <w:r>
        <w:fldChar w:fldCharType="separate"/>
      </w:r>
      <w:r w:rsidR="00B0043E" w:rsidRPr="00B0043E">
        <w:t>51</w:t>
      </w:r>
      <w:r>
        <w:fldChar w:fldCharType="end"/>
      </w:r>
      <w:r>
        <w:t>], [</w:t>
      </w:r>
      <w:r>
        <w:fldChar w:fldCharType="begin"/>
      </w:r>
      <w:r>
        <w:instrText xml:space="preserve"> REF _Ref_cit_52 \h \* MERGEFORMAT </w:instrText>
      </w:r>
      <w:r>
        <w:fldChar w:fldCharType="separate"/>
      </w:r>
      <w:r w:rsidR="00B0043E" w:rsidRPr="00B0043E">
        <w:t>52</w:t>
      </w:r>
      <w:r>
        <w:fldChar w:fldCharType="end"/>
      </w:r>
      <w:r>
        <w:t>]. Η Επιτροπή αναφέρει ότι πάνω από το 99% των δικαιωμάτων που οφείλονταν για τις εκπομπές του 2024 παραδόθηκαν εντός της νόμιμης προθεσμίας [</w:t>
      </w:r>
      <w:r>
        <w:fldChar w:fldCharType="begin"/>
      </w:r>
      <w:r>
        <w:instrText xml:space="preserve"> REF _Ref_cit_46 \h \* MERGEFORMAT </w:instrText>
      </w:r>
      <w:r>
        <w:fldChar w:fldCharType="separate"/>
      </w:r>
      <w:r w:rsidR="00B0043E" w:rsidRPr="00B0043E">
        <w:t>46</w:t>
      </w:r>
      <w:r>
        <w:fldChar w:fldCharType="end"/>
      </w:r>
      <w:r>
        <w:t>], γεγονός που δείχνει υψηλό επίπεδο συμμόρφωσης κατά το πρώτο έτος εφαρμογής. Το πεδίο εφαρμογής προβλέπεται να διευρυνθεί περαιτέρω από το 2027 σε πρόσθετες κατηγορίες πλοίων, ενώ μια αναθεώρηση θα εξετάσει την ένταξη μικρότερων πλοίων [</w:t>
      </w:r>
      <w:r>
        <w:fldChar w:fldCharType="begin"/>
      </w:r>
      <w:r>
        <w:instrText xml:space="preserve"> REF _Ref_cit_52 \h \* MERGEFORMAT </w:instrText>
      </w:r>
      <w:r>
        <w:fldChar w:fldCharType="separate"/>
      </w:r>
      <w:r w:rsidR="00B0043E" w:rsidRPr="00B0043E">
        <w:t>52</w:t>
      </w:r>
      <w:r>
        <w:fldChar w:fldCharType="end"/>
      </w:r>
      <w:r>
        <w:t>].</w:t>
      </w:r>
    </w:p>
    <w:p w14:paraId="6A613EA3" w14:textId="77777777" w:rsidR="00DE3C3C" w:rsidRDefault="003C7DFB">
      <w:pPr>
        <w:spacing w:line="360" w:lineRule="auto"/>
        <w:ind w:firstLine="576"/>
        <w:jc w:val="both"/>
      </w:pPr>
      <w:r>
        <w:lastRenderedPageBreak/>
        <w:t>Για την οικονομική αξιολόγηση των WAPS, το ETS δημιουργεί ένα μεταβλητό κόστος ανάλογο της κατανάλωσης καυσίμου. Το ετήσιο κόστος ETS ενός πλοίου μπορεί να γραφεί ως</w:t>
      </w:r>
    </w:p>
    <w:p w14:paraId="2FACE089" w14:textId="77777777" w:rsidR="00DE3C3C" w:rsidRDefault="003C7DFB">
      <w:pPr>
        <w:spacing w:before="120" w:after="120" w:line="360" w:lineRule="auto"/>
        <w:jc w:val="center"/>
      </w:pPr>
      <w:r>
        <w:t>C</w:t>
      </w:r>
      <w:r>
        <w:rPr>
          <w:vertAlign w:val="subscript"/>
        </w:rPr>
        <w:t>ETS</w:t>
      </w:r>
      <w:r>
        <w:t xml:space="preserve"> = </w:t>
      </w:r>
      <w:proofErr w:type="spellStart"/>
      <w:r>
        <w:t>k</w:t>
      </w:r>
      <w:r>
        <w:rPr>
          <w:vertAlign w:val="subscript"/>
        </w:rPr>
        <w:t>cov</w:t>
      </w:r>
      <w:proofErr w:type="spellEnd"/>
      <w:r>
        <w:t xml:space="preserve"> · </w:t>
      </w:r>
      <w:proofErr w:type="spellStart"/>
      <w:r>
        <w:t>k</w:t>
      </w:r>
      <w:r>
        <w:rPr>
          <w:vertAlign w:val="subscript"/>
        </w:rPr>
        <w:t>ph</w:t>
      </w:r>
      <w:proofErr w:type="spellEnd"/>
      <w:r>
        <w:t xml:space="preserve"> · E</w:t>
      </w:r>
      <w:r>
        <w:rPr>
          <w:vertAlign w:val="subscript"/>
        </w:rPr>
        <w:t>CO₂</w:t>
      </w:r>
      <w:r>
        <w:t xml:space="preserve"> · P</w:t>
      </w:r>
      <w:r>
        <w:rPr>
          <w:vertAlign w:val="subscript"/>
        </w:rPr>
        <w:t>EUA</w:t>
      </w:r>
    </w:p>
    <w:p w14:paraId="162EC223" w14:textId="0CA05B32" w:rsidR="00DE3C3C" w:rsidRDefault="003C7DFB">
      <w:pPr>
        <w:spacing w:line="360" w:lineRule="auto"/>
        <w:ind w:firstLine="576"/>
        <w:jc w:val="both"/>
      </w:pPr>
      <w:r>
        <w:t>όπου E</w:t>
      </w:r>
      <w:r>
        <w:rPr>
          <w:vertAlign w:val="subscript"/>
        </w:rPr>
        <w:t>CO₂</w:t>
      </w:r>
      <w:r>
        <w:t xml:space="preserve"> είναι οι επαληθευμένες ετήσιες εκπομπές CO₂ (ή ισοδύναμου CO₂) του πλοίου</w:t>
      </w:r>
      <w:r w:rsidR="00B24391">
        <w:t xml:space="preserve"> σε τόνους</w:t>
      </w:r>
      <w:r>
        <w:t>, P</w:t>
      </w:r>
      <w:r>
        <w:rPr>
          <w:vertAlign w:val="subscript"/>
        </w:rPr>
        <w:t>EUA</w:t>
      </w:r>
      <w:r>
        <w:t xml:space="preserve"> είναι η τιμή ενός δικαιώματος εκπομπής της ΕΕ σε ευρώ ανά τόνο, </w:t>
      </w:r>
      <w:proofErr w:type="spellStart"/>
      <w:r>
        <w:t>k</w:t>
      </w:r>
      <w:r>
        <w:rPr>
          <w:vertAlign w:val="subscript"/>
        </w:rPr>
        <w:t>cov</w:t>
      </w:r>
      <w:proofErr w:type="spellEnd"/>
      <w:r>
        <w:t xml:space="preserve"> είναι ο συντελεστής κάλυψης (1</w:t>
      </w:r>
      <w:r w:rsidR="001F06C9">
        <w:t>,</w:t>
      </w:r>
      <w:r>
        <w:t>0 για ταξίδια εντός ΕΕ και για τον χρόνο παραμονής στην προβλήτα, 0</w:t>
      </w:r>
      <w:r w:rsidR="001F06C9">
        <w:t>,</w:t>
      </w:r>
      <w:r>
        <w:t xml:space="preserve">5 για ταξίδια εκτός ΕΕ) και </w:t>
      </w:r>
      <w:proofErr w:type="spellStart"/>
      <w:r>
        <w:t>k</w:t>
      </w:r>
      <w:r>
        <w:rPr>
          <w:vertAlign w:val="subscript"/>
        </w:rPr>
        <w:t>ph</w:t>
      </w:r>
      <w:proofErr w:type="spellEnd"/>
      <w:r>
        <w:t xml:space="preserve"> είναι ο συντελεστής σταδιακής εφαρμογής (0</w:t>
      </w:r>
      <w:r w:rsidR="00B24391">
        <w:t>,</w:t>
      </w:r>
      <w:r>
        <w:t>4</w:t>
      </w:r>
      <w:r w:rsidR="00B86C2A">
        <w:t xml:space="preserve"> </w:t>
      </w:r>
      <w:r>
        <w:t>, 0</w:t>
      </w:r>
      <w:r w:rsidR="00B86C2A">
        <w:t>,</w:t>
      </w:r>
      <w:r>
        <w:t>7 και 1</w:t>
      </w:r>
      <w:r w:rsidR="00B86C2A">
        <w:t>,</w:t>
      </w:r>
      <w:r>
        <w:t xml:space="preserve">0 για τις εκπομπές του 2024, του 2025 και από το 2026 και μετά, αντίστοιχα). Η πλατφόρμα των </w:t>
      </w:r>
      <w:proofErr w:type="spellStart"/>
      <w:r w:rsidR="00312106">
        <w:t>Πλέσσα</w:t>
      </w:r>
      <w:proofErr w:type="spellEnd"/>
      <w:r w:rsidR="00312106">
        <w:t xml:space="preserve"> και Παπανικολάου</w:t>
      </w:r>
      <w:r>
        <w:t xml:space="preserve"> [</w:t>
      </w:r>
      <w:r>
        <w:fldChar w:fldCharType="begin"/>
      </w:r>
      <w:r>
        <w:instrText xml:space="preserve"> REF _Ref_cit_45 \h \* MERGEFORMAT </w:instrText>
      </w:r>
      <w:r>
        <w:fldChar w:fldCharType="separate"/>
      </w:r>
      <w:r w:rsidR="00B0043E" w:rsidRPr="00B0043E">
        <w:t>45</w:t>
      </w:r>
      <w:r>
        <w:fldChar w:fldCharType="end"/>
      </w:r>
      <w:r>
        <w:t xml:space="preserve">] υιοθετεί ακριβώς αυτή τη λογική, με μία υποτιθέμενη μέση τιμή άνθρακα, ενώ η μελέτη σεναρίων των </w:t>
      </w:r>
      <w:proofErr w:type="spellStart"/>
      <w:r>
        <w:t>Seyhan</w:t>
      </w:r>
      <w:proofErr w:type="spellEnd"/>
      <w:r>
        <w:t xml:space="preserve"> </w:t>
      </w:r>
      <w:proofErr w:type="spellStart"/>
      <w:r>
        <w:t>et</w:t>
      </w:r>
      <w:proofErr w:type="spellEnd"/>
      <w:r>
        <w:t xml:space="preserve"> </w:t>
      </w:r>
      <w:proofErr w:type="spellStart"/>
      <w:r>
        <w:t>al</w:t>
      </w:r>
      <w:proofErr w:type="spellEnd"/>
      <w:r>
        <w:t>. [</w:t>
      </w:r>
      <w:r>
        <w:fldChar w:fldCharType="begin"/>
      </w:r>
      <w:r>
        <w:instrText xml:space="preserve"> REF _Ref_cit_52 \h \* MERGEFORMAT </w:instrText>
      </w:r>
      <w:r>
        <w:fldChar w:fldCharType="separate"/>
      </w:r>
      <w:r w:rsidR="00B0043E" w:rsidRPr="00B0043E">
        <w:t>52</w:t>
      </w:r>
      <w:r>
        <w:fldChar w:fldCharType="end"/>
      </w:r>
      <w:r>
        <w:t xml:space="preserve">] αντιμετωπίζει την τιμή του άνθρακα ως μεταβλητή, με χαμηλό, μέσο και υψηλό σενάριο, και διαπιστώνει ότι η ένταξη του μεθανίου και του </w:t>
      </w:r>
      <w:proofErr w:type="spellStart"/>
      <w:r>
        <w:t>υποξειδίου</w:t>
      </w:r>
      <w:proofErr w:type="spellEnd"/>
      <w:r>
        <w:t xml:space="preserve"> του αζώτου αυξάνει το σταθμισμένο κόστος ενέργειας (</w:t>
      </w:r>
      <w:proofErr w:type="spellStart"/>
      <w:r>
        <w:t>levelised</w:t>
      </w:r>
      <w:proofErr w:type="spellEnd"/>
      <w:r>
        <w:t xml:space="preserve"> </w:t>
      </w:r>
      <w:proofErr w:type="spellStart"/>
      <w:r>
        <w:t>cost</w:t>
      </w:r>
      <w:proofErr w:type="spellEnd"/>
      <w:r>
        <w:t xml:space="preserve"> of </w:t>
      </w:r>
      <w:proofErr w:type="spellStart"/>
      <w:r>
        <w:t>energy</w:t>
      </w:r>
      <w:proofErr w:type="spellEnd"/>
      <w:r>
        <w:t>) των φορτηγών πλοίων χύδην ξηρού φορτίου έως και κατά 3</w:t>
      </w:r>
      <w:r w:rsidR="00285347">
        <w:t>,</w:t>
      </w:r>
      <w:r>
        <w:t>16% στα σενάρια που εξετάστηκαν. Το συμπέρασμα που έχει σημασία για την παρούσα εργασία είναι ότι η τιμή των δικαιωμάτων αποτελεί σημαντική πηγή αβεβαιότητας και ότι τα αποτελέσματα πρέπει να παρουσιάζονται για ένα εύρος τιμών και όχι για μία μόνο τιμή, όπως γίνεται στην Ενότητα 4.10.</w:t>
      </w:r>
    </w:p>
    <w:p w14:paraId="1ADA6E71" w14:textId="77777777" w:rsidR="00DE3C3C" w:rsidRDefault="003C7DFB">
      <w:pPr>
        <w:pStyle w:val="30"/>
      </w:pPr>
      <w:bookmarkStart w:id="149" w:name="_Toc243355320"/>
      <w:r>
        <w:t xml:space="preserve">Ο Κανονισμός </w:t>
      </w:r>
      <w:proofErr w:type="spellStart"/>
      <w:r>
        <w:t>FuelEU</w:t>
      </w:r>
      <w:proofErr w:type="spellEnd"/>
      <w:r>
        <w:t xml:space="preserve"> Maritime</w:t>
      </w:r>
      <w:bookmarkEnd w:id="149"/>
    </w:p>
    <w:p w14:paraId="48CBA198" w14:textId="10DAE683" w:rsidR="00DE3C3C" w:rsidRDefault="003C7DFB">
      <w:pPr>
        <w:spacing w:line="360" w:lineRule="auto"/>
        <w:ind w:firstLine="576"/>
        <w:jc w:val="both"/>
      </w:pPr>
      <w:r>
        <w:t xml:space="preserve">Ο Κανονισμός (ΕΕ) 2023/1805, γνωστός ως </w:t>
      </w:r>
      <w:proofErr w:type="spellStart"/>
      <w:r>
        <w:t>FuelEU</w:t>
      </w:r>
      <w:proofErr w:type="spellEnd"/>
      <w:r>
        <w:t xml:space="preserve"> Maritime [</w:t>
      </w:r>
      <w:r>
        <w:fldChar w:fldCharType="begin"/>
      </w:r>
      <w:r>
        <w:instrText xml:space="preserve"> REF _Ref_cit_50 \h \* MERGEFORMAT </w:instrText>
      </w:r>
      <w:r>
        <w:fldChar w:fldCharType="separate"/>
      </w:r>
      <w:r w:rsidR="00B0043E" w:rsidRPr="00B0043E">
        <w:t>50</w:t>
      </w:r>
      <w:r>
        <w:fldChar w:fldCharType="end"/>
      </w:r>
      <w:r>
        <w:t>], εφαρμόζεται από την 1η Ιανουαρίου 2025 σε πλοία άνω των 5</w:t>
      </w:r>
      <w:r w:rsidR="00DD3D21">
        <w:t>.</w:t>
      </w:r>
      <w:r>
        <w:t xml:space="preserve">000 GT που προσεγγίζουν λιμένες της ΕΕ, ανεξαρτήτως σημαίας. Ρυθμίζει την ένταση αερίων θερμοκηπίου της ενέργειας που χρησιμοποιείται επί του πλοίου σε βάση «από την </w:t>
      </w:r>
      <w:r w:rsidR="00E94385">
        <w:t xml:space="preserve">παραγωγή </w:t>
      </w:r>
      <w:r w:rsidR="00267E58">
        <w:t>έως</w:t>
      </w:r>
      <w:r w:rsidR="00E94385">
        <w:t xml:space="preserve"> την </w:t>
      </w:r>
      <w:proofErr w:type="spellStart"/>
      <w:r w:rsidR="00357629">
        <w:t>κάυση</w:t>
      </w:r>
      <w:proofErr w:type="spellEnd"/>
      <w:r>
        <w:t>» (</w:t>
      </w:r>
      <w:proofErr w:type="spellStart"/>
      <w:r>
        <w:t>well-to-wake</w:t>
      </w:r>
      <w:proofErr w:type="spellEnd"/>
      <w:r>
        <w:t xml:space="preserve">), εκφρασμένη σε γραμμάρια ισοδύναμου CO₂ ανά </w:t>
      </w:r>
      <w:proofErr w:type="spellStart"/>
      <w:r>
        <w:t>megajoule</w:t>
      </w:r>
      <w:proofErr w:type="spellEnd"/>
      <w:r>
        <w:t xml:space="preserve"> (</w:t>
      </w:r>
      <w:proofErr w:type="spellStart"/>
      <w:r>
        <w:t>gCO₂e</w:t>
      </w:r>
      <w:proofErr w:type="spellEnd"/>
      <w:r>
        <w:t xml:space="preserve">/MJ), και επομένως λαμβάνει υπόψη τις εκπομπές της παραγωγής και της μεταφοράς του καυσίμου καθώς και εκείνες της καύσης. Η ενέργεια που χρησιμοποιείται σε ταξίδια μεταξύ λιμένων της ΕΕ και στην προβλήτα </w:t>
      </w:r>
      <w:proofErr w:type="spellStart"/>
      <w:r>
        <w:t>προσμετράται</w:t>
      </w:r>
      <w:proofErr w:type="spellEnd"/>
      <w:r>
        <w:t xml:space="preserve"> πλήρως, ενώ για τα ταξίδια με είσοδο στην ή έξοδο από την ΕΕ </w:t>
      </w:r>
      <w:proofErr w:type="spellStart"/>
      <w:r>
        <w:t>προσμετράται</w:t>
      </w:r>
      <w:proofErr w:type="spellEnd"/>
      <w:r>
        <w:t xml:space="preserve"> το 50% της ενέργειας [</w:t>
      </w:r>
      <w:r>
        <w:fldChar w:fldCharType="begin"/>
      </w:r>
      <w:r>
        <w:instrText xml:space="preserve"> REF _Ref_cit_61 \h \* MERGEFORMAT </w:instrText>
      </w:r>
      <w:r>
        <w:fldChar w:fldCharType="separate"/>
      </w:r>
      <w:r w:rsidR="00B0043E" w:rsidRPr="00B0043E">
        <w:t>61</w:t>
      </w:r>
      <w:r>
        <w:fldChar w:fldCharType="end"/>
      </w:r>
      <w:r>
        <w:t>]. Το όριο ορίζεται ως ποσοστιαία μείωση σε σχέση με μια τιμή αναφοράς 91</w:t>
      </w:r>
      <w:r w:rsidR="00A62862">
        <w:t>,</w:t>
      </w:r>
      <w:r>
        <w:t xml:space="preserve">16 </w:t>
      </w:r>
      <w:proofErr w:type="spellStart"/>
      <w:r>
        <w:t>gCO₂e</w:t>
      </w:r>
      <w:proofErr w:type="spellEnd"/>
      <w:r>
        <w:t>/MJ</w:t>
      </w:r>
      <w:r w:rsidR="00A62862">
        <w:t xml:space="preserve"> (</w:t>
      </w:r>
      <w:r w:rsidR="00A62862">
        <w:rPr>
          <w:lang w:val="en-US"/>
        </w:rPr>
        <w:t>HFO</w:t>
      </w:r>
      <w:r w:rsidR="00A62862" w:rsidRPr="00A62862">
        <w:t>)</w:t>
      </w:r>
      <w:r>
        <w:t xml:space="preserve">, η οποία αντιστοιχεί στον μέσο όρο του στόλου το </w:t>
      </w:r>
      <w:r>
        <w:lastRenderedPageBreak/>
        <w:t>2020 [</w:t>
      </w:r>
      <w:r>
        <w:fldChar w:fldCharType="begin"/>
      </w:r>
      <w:r>
        <w:instrText xml:space="preserve"> REF _Ref_cit_58 \h \* MERGEFORMAT </w:instrText>
      </w:r>
      <w:r>
        <w:fldChar w:fldCharType="separate"/>
      </w:r>
      <w:r w:rsidR="00B0043E" w:rsidRPr="00B0043E">
        <w:t>58</w:t>
      </w:r>
      <w:r>
        <w:fldChar w:fldCharType="end"/>
      </w:r>
      <w:r>
        <w:t>], [</w:t>
      </w:r>
      <w:r>
        <w:fldChar w:fldCharType="begin"/>
      </w:r>
      <w:r>
        <w:instrText xml:space="preserve"> REF _Ref_cit_61 \h \* MERGEFORMAT </w:instrText>
      </w:r>
      <w:r>
        <w:fldChar w:fldCharType="separate"/>
      </w:r>
      <w:r w:rsidR="00B0043E" w:rsidRPr="00B0043E">
        <w:t>61</w:t>
      </w:r>
      <w:r>
        <w:fldChar w:fldCharType="end"/>
      </w:r>
      <w:r>
        <w:t xml:space="preserve">]. Η απαιτούμενη μείωση αυξάνεται σε πενταετή βήματα, από 2% το 2025 έως 80% το 2050, όπως φαίνεται στον </w:t>
      </w:r>
      <w:r w:rsidRPr="00A62862">
        <w:rPr>
          <w:b/>
          <w:bCs/>
        </w:rPr>
        <w:t>Πίνακα 5</w:t>
      </w:r>
      <w:r>
        <w:t xml:space="preserve"> και στ</w:t>
      </w:r>
      <w:r w:rsidR="00A62862">
        <w:t>ην</w:t>
      </w:r>
      <w:r>
        <w:t xml:space="preserve"> </w:t>
      </w:r>
      <w:r w:rsidR="00F822A6" w:rsidRPr="00A62862">
        <w:rPr>
          <w:b/>
          <w:bCs/>
        </w:rPr>
        <w:t>Εικόνα</w:t>
      </w:r>
      <w:r w:rsidRPr="00A62862">
        <w:rPr>
          <w:b/>
          <w:bCs/>
        </w:rPr>
        <w:t xml:space="preserve"> 18</w:t>
      </w:r>
      <w:r>
        <w:t>.</w:t>
      </w:r>
    </w:p>
    <w:p w14:paraId="47031511" w14:textId="0037E934" w:rsidR="00DE3C3C" w:rsidRDefault="003C7DFB">
      <w:pPr>
        <w:pStyle w:val="af2"/>
        <w:keepNext/>
        <w:jc w:val="center"/>
        <w:rPr>
          <w:b/>
          <w:bCs/>
          <w:noProof/>
        </w:rPr>
      </w:pPr>
      <w:r>
        <w:rPr>
          <w:b/>
          <w:bCs/>
        </w:rPr>
        <w:t xml:space="preserve">Πίνακας </w:t>
      </w:r>
      <w:r>
        <w:rPr>
          <w:b/>
          <w:bCs/>
        </w:rPr>
        <w:fldChar w:fldCharType="begin"/>
      </w:r>
      <w:r>
        <w:rPr>
          <w:b/>
          <w:bCs/>
        </w:rPr>
        <w:instrText xml:space="preserve"> SEQ Table \* ARABIC </w:instrText>
      </w:r>
      <w:r>
        <w:rPr>
          <w:b/>
          <w:bCs/>
        </w:rPr>
        <w:fldChar w:fldCharType="separate"/>
      </w:r>
      <w:r w:rsidR="00B0043E">
        <w:rPr>
          <w:b/>
          <w:bCs/>
          <w:noProof/>
        </w:rPr>
        <w:t>5</w:t>
      </w:r>
      <w:r>
        <w:rPr>
          <w:b/>
          <w:bCs/>
        </w:rPr>
        <w:fldChar w:fldCharType="end"/>
      </w:r>
      <w:r>
        <w:rPr>
          <w:b/>
          <w:bCs/>
        </w:rPr>
        <w:t xml:space="preserve">: Όρια του </w:t>
      </w:r>
      <w:proofErr w:type="spellStart"/>
      <w:r>
        <w:rPr>
          <w:b/>
          <w:bCs/>
        </w:rPr>
        <w:t>FuelEU</w:t>
      </w:r>
      <w:proofErr w:type="spellEnd"/>
      <w:r>
        <w:rPr>
          <w:b/>
          <w:bCs/>
        </w:rPr>
        <w:t xml:space="preserve"> Maritime για την ένταση αερίων θερμοκηπίου (</w:t>
      </w:r>
      <w:proofErr w:type="spellStart"/>
      <w:r>
        <w:rPr>
          <w:b/>
          <w:bCs/>
        </w:rPr>
        <w:t>well-to-wake</w:t>
      </w:r>
      <w:proofErr w:type="spellEnd"/>
      <w:r>
        <w:rPr>
          <w:b/>
          <w:bCs/>
        </w:rPr>
        <w:t>) της ενέργειας που χρησιμοποιείται επί του πλοίου.</w:t>
      </w:r>
    </w:p>
    <w:tbl>
      <w:tblPr>
        <w:tblW w:w="8640"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2500"/>
        <w:gridCol w:w="2500"/>
        <w:gridCol w:w="3640"/>
      </w:tblGrid>
      <w:tr w:rsidR="00DE3C3C" w14:paraId="70F2EDA9" w14:textId="77777777">
        <w:trPr>
          <w:cantSplit/>
          <w:tblHeader/>
          <w:jc w:val="center"/>
        </w:trPr>
        <w:tc>
          <w:tcPr>
            <w:tcW w:w="2500" w:type="dxa"/>
            <w:shd w:val="clear" w:color="auto" w:fill="D9D9D9"/>
            <w:tcMar>
              <w:top w:w="60" w:type="dxa"/>
              <w:left w:w="100" w:type="dxa"/>
              <w:bottom w:w="60" w:type="dxa"/>
              <w:right w:w="100" w:type="dxa"/>
            </w:tcMar>
            <w:vAlign w:val="center"/>
          </w:tcPr>
          <w:p w14:paraId="5C4C06A4" w14:textId="77777777" w:rsidR="00DE3C3C" w:rsidRDefault="003C7DFB" w:rsidP="00535231">
            <w:pPr>
              <w:spacing w:after="0" w:line="240" w:lineRule="auto"/>
              <w:jc w:val="center"/>
              <w:rPr>
                <w:sz w:val="18"/>
                <w:szCs w:val="18"/>
              </w:rPr>
            </w:pPr>
            <w:r>
              <w:rPr>
                <w:b/>
                <w:bCs/>
                <w:sz w:val="18"/>
                <w:szCs w:val="18"/>
              </w:rPr>
              <w:t>Περίοδος από</w:t>
            </w:r>
          </w:p>
        </w:tc>
        <w:tc>
          <w:tcPr>
            <w:tcW w:w="2500" w:type="dxa"/>
            <w:shd w:val="clear" w:color="auto" w:fill="D9D9D9"/>
            <w:tcMar>
              <w:top w:w="60" w:type="dxa"/>
              <w:left w:w="100" w:type="dxa"/>
              <w:bottom w:w="60" w:type="dxa"/>
              <w:right w:w="100" w:type="dxa"/>
            </w:tcMar>
            <w:vAlign w:val="center"/>
          </w:tcPr>
          <w:p w14:paraId="6BA796C5" w14:textId="77777777" w:rsidR="00DE3C3C" w:rsidRDefault="003C7DFB" w:rsidP="00535231">
            <w:pPr>
              <w:spacing w:after="0" w:line="240" w:lineRule="auto"/>
              <w:jc w:val="center"/>
              <w:rPr>
                <w:sz w:val="18"/>
                <w:szCs w:val="18"/>
              </w:rPr>
            </w:pPr>
            <w:r>
              <w:rPr>
                <w:b/>
                <w:bCs/>
                <w:sz w:val="18"/>
                <w:szCs w:val="18"/>
              </w:rPr>
              <w:t>Απαιτούμενη μείωση</w:t>
            </w:r>
          </w:p>
        </w:tc>
        <w:tc>
          <w:tcPr>
            <w:tcW w:w="3640" w:type="dxa"/>
            <w:shd w:val="clear" w:color="auto" w:fill="D9D9D9"/>
            <w:tcMar>
              <w:top w:w="60" w:type="dxa"/>
              <w:left w:w="100" w:type="dxa"/>
              <w:bottom w:w="60" w:type="dxa"/>
              <w:right w:w="100" w:type="dxa"/>
            </w:tcMar>
            <w:vAlign w:val="center"/>
          </w:tcPr>
          <w:p w14:paraId="174FF190" w14:textId="77777777" w:rsidR="00DE3C3C" w:rsidRDefault="003C7DFB" w:rsidP="00535231">
            <w:pPr>
              <w:spacing w:after="0" w:line="240" w:lineRule="auto"/>
              <w:jc w:val="center"/>
              <w:rPr>
                <w:sz w:val="18"/>
                <w:szCs w:val="18"/>
              </w:rPr>
            </w:pPr>
            <w:r>
              <w:rPr>
                <w:b/>
                <w:bCs/>
                <w:sz w:val="18"/>
                <w:szCs w:val="18"/>
              </w:rPr>
              <w:t>Όριο έντασης GHG (</w:t>
            </w:r>
            <w:proofErr w:type="spellStart"/>
            <w:r>
              <w:rPr>
                <w:b/>
                <w:bCs/>
                <w:sz w:val="18"/>
                <w:szCs w:val="18"/>
              </w:rPr>
              <w:t>gCO₂e</w:t>
            </w:r>
            <w:proofErr w:type="spellEnd"/>
            <w:r>
              <w:rPr>
                <w:b/>
                <w:bCs/>
                <w:sz w:val="18"/>
                <w:szCs w:val="18"/>
              </w:rPr>
              <w:t>/MJ)</w:t>
            </w:r>
          </w:p>
        </w:tc>
      </w:tr>
      <w:tr w:rsidR="00DE3C3C" w14:paraId="6D956FE6" w14:textId="77777777">
        <w:trPr>
          <w:cantSplit/>
          <w:jc w:val="center"/>
        </w:trPr>
        <w:tc>
          <w:tcPr>
            <w:tcW w:w="2500" w:type="dxa"/>
            <w:tcMar>
              <w:top w:w="60" w:type="dxa"/>
              <w:left w:w="100" w:type="dxa"/>
              <w:bottom w:w="60" w:type="dxa"/>
              <w:right w:w="100" w:type="dxa"/>
            </w:tcMar>
            <w:vAlign w:val="center"/>
          </w:tcPr>
          <w:p w14:paraId="3294701F" w14:textId="77777777" w:rsidR="00DE3C3C" w:rsidRDefault="003C7DFB" w:rsidP="00535231">
            <w:pPr>
              <w:spacing w:after="0" w:line="240" w:lineRule="auto"/>
              <w:jc w:val="center"/>
              <w:rPr>
                <w:sz w:val="18"/>
                <w:szCs w:val="18"/>
              </w:rPr>
            </w:pPr>
            <w:r>
              <w:rPr>
                <w:sz w:val="18"/>
                <w:szCs w:val="18"/>
              </w:rPr>
              <w:t>2025</w:t>
            </w:r>
          </w:p>
        </w:tc>
        <w:tc>
          <w:tcPr>
            <w:tcW w:w="2500" w:type="dxa"/>
            <w:tcMar>
              <w:top w:w="60" w:type="dxa"/>
              <w:left w:w="100" w:type="dxa"/>
              <w:bottom w:w="60" w:type="dxa"/>
              <w:right w:w="100" w:type="dxa"/>
            </w:tcMar>
            <w:vAlign w:val="center"/>
          </w:tcPr>
          <w:p w14:paraId="039E1554" w14:textId="77777777" w:rsidR="00DE3C3C" w:rsidRDefault="003C7DFB" w:rsidP="00535231">
            <w:pPr>
              <w:spacing w:after="0" w:line="240" w:lineRule="auto"/>
              <w:jc w:val="center"/>
              <w:rPr>
                <w:sz w:val="18"/>
                <w:szCs w:val="18"/>
              </w:rPr>
            </w:pPr>
            <w:r>
              <w:rPr>
                <w:sz w:val="18"/>
                <w:szCs w:val="18"/>
              </w:rPr>
              <w:t>2%</w:t>
            </w:r>
          </w:p>
        </w:tc>
        <w:tc>
          <w:tcPr>
            <w:tcW w:w="3640" w:type="dxa"/>
            <w:tcMar>
              <w:top w:w="60" w:type="dxa"/>
              <w:left w:w="100" w:type="dxa"/>
              <w:bottom w:w="60" w:type="dxa"/>
              <w:right w:w="100" w:type="dxa"/>
            </w:tcMar>
            <w:vAlign w:val="center"/>
          </w:tcPr>
          <w:p w14:paraId="62A4F69A" w14:textId="367489E6" w:rsidR="00DE3C3C" w:rsidRDefault="003C7DFB" w:rsidP="00535231">
            <w:pPr>
              <w:spacing w:after="0" w:line="240" w:lineRule="auto"/>
              <w:jc w:val="center"/>
              <w:rPr>
                <w:sz w:val="18"/>
                <w:szCs w:val="18"/>
              </w:rPr>
            </w:pPr>
            <w:r>
              <w:rPr>
                <w:sz w:val="18"/>
                <w:szCs w:val="18"/>
              </w:rPr>
              <w:t>89</w:t>
            </w:r>
            <w:r w:rsidR="005061FA">
              <w:rPr>
                <w:sz w:val="18"/>
                <w:szCs w:val="18"/>
              </w:rPr>
              <w:t>,</w:t>
            </w:r>
            <w:r>
              <w:rPr>
                <w:sz w:val="18"/>
                <w:szCs w:val="18"/>
              </w:rPr>
              <w:t>34</w:t>
            </w:r>
          </w:p>
        </w:tc>
      </w:tr>
      <w:tr w:rsidR="00DE3C3C" w14:paraId="592A8CA6" w14:textId="77777777">
        <w:trPr>
          <w:cantSplit/>
          <w:jc w:val="center"/>
        </w:trPr>
        <w:tc>
          <w:tcPr>
            <w:tcW w:w="2500" w:type="dxa"/>
            <w:tcMar>
              <w:top w:w="60" w:type="dxa"/>
              <w:left w:w="100" w:type="dxa"/>
              <w:bottom w:w="60" w:type="dxa"/>
              <w:right w:w="100" w:type="dxa"/>
            </w:tcMar>
            <w:vAlign w:val="center"/>
          </w:tcPr>
          <w:p w14:paraId="18F2B15C" w14:textId="77777777" w:rsidR="00DE3C3C" w:rsidRDefault="003C7DFB" w:rsidP="00535231">
            <w:pPr>
              <w:spacing w:after="0" w:line="240" w:lineRule="auto"/>
              <w:jc w:val="center"/>
              <w:rPr>
                <w:sz w:val="18"/>
                <w:szCs w:val="18"/>
              </w:rPr>
            </w:pPr>
            <w:r>
              <w:rPr>
                <w:sz w:val="18"/>
                <w:szCs w:val="18"/>
              </w:rPr>
              <w:t>2030</w:t>
            </w:r>
          </w:p>
        </w:tc>
        <w:tc>
          <w:tcPr>
            <w:tcW w:w="2500" w:type="dxa"/>
            <w:tcMar>
              <w:top w:w="60" w:type="dxa"/>
              <w:left w:w="100" w:type="dxa"/>
              <w:bottom w:w="60" w:type="dxa"/>
              <w:right w:w="100" w:type="dxa"/>
            </w:tcMar>
            <w:vAlign w:val="center"/>
          </w:tcPr>
          <w:p w14:paraId="318AD1FE" w14:textId="77777777" w:rsidR="00DE3C3C" w:rsidRDefault="003C7DFB" w:rsidP="00535231">
            <w:pPr>
              <w:spacing w:after="0" w:line="240" w:lineRule="auto"/>
              <w:jc w:val="center"/>
              <w:rPr>
                <w:sz w:val="18"/>
                <w:szCs w:val="18"/>
              </w:rPr>
            </w:pPr>
            <w:r>
              <w:rPr>
                <w:sz w:val="18"/>
                <w:szCs w:val="18"/>
              </w:rPr>
              <w:t>6%</w:t>
            </w:r>
          </w:p>
        </w:tc>
        <w:tc>
          <w:tcPr>
            <w:tcW w:w="3640" w:type="dxa"/>
            <w:tcMar>
              <w:top w:w="60" w:type="dxa"/>
              <w:left w:w="100" w:type="dxa"/>
              <w:bottom w:w="60" w:type="dxa"/>
              <w:right w:w="100" w:type="dxa"/>
            </w:tcMar>
            <w:vAlign w:val="center"/>
          </w:tcPr>
          <w:p w14:paraId="35A6C043" w14:textId="02BD74F4" w:rsidR="00DE3C3C" w:rsidRDefault="003C7DFB" w:rsidP="00535231">
            <w:pPr>
              <w:spacing w:after="0" w:line="240" w:lineRule="auto"/>
              <w:jc w:val="center"/>
              <w:rPr>
                <w:sz w:val="18"/>
                <w:szCs w:val="18"/>
              </w:rPr>
            </w:pPr>
            <w:r>
              <w:rPr>
                <w:sz w:val="18"/>
                <w:szCs w:val="18"/>
              </w:rPr>
              <w:t>85</w:t>
            </w:r>
            <w:r w:rsidR="005061FA">
              <w:rPr>
                <w:sz w:val="18"/>
                <w:szCs w:val="18"/>
              </w:rPr>
              <w:t>,</w:t>
            </w:r>
            <w:r>
              <w:rPr>
                <w:sz w:val="18"/>
                <w:szCs w:val="18"/>
              </w:rPr>
              <w:t>69</w:t>
            </w:r>
          </w:p>
        </w:tc>
      </w:tr>
      <w:tr w:rsidR="00DE3C3C" w14:paraId="5FAAB089" w14:textId="77777777">
        <w:trPr>
          <w:cantSplit/>
          <w:jc w:val="center"/>
        </w:trPr>
        <w:tc>
          <w:tcPr>
            <w:tcW w:w="2500" w:type="dxa"/>
            <w:tcMar>
              <w:top w:w="60" w:type="dxa"/>
              <w:left w:w="100" w:type="dxa"/>
              <w:bottom w:w="60" w:type="dxa"/>
              <w:right w:w="100" w:type="dxa"/>
            </w:tcMar>
            <w:vAlign w:val="center"/>
          </w:tcPr>
          <w:p w14:paraId="5062B2FE" w14:textId="77777777" w:rsidR="00DE3C3C" w:rsidRDefault="003C7DFB" w:rsidP="00535231">
            <w:pPr>
              <w:spacing w:after="0" w:line="240" w:lineRule="auto"/>
              <w:jc w:val="center"/>
              <w:rPr>
                <w:sz w:val="18"/>
                <w:szCs w:val="18"/>
              </w:rPr>
            </w:pPr>
            <w:r>
              <w:rPr>
                <w:sz w:val="18"/>
                <w:szCs w:val="18"/>
              </w:rPr>
              <w:t>2035</w:t>
            </w:r>
          </w:p>
        </w:tc>
        <w:tc>
          <w:tcPr>
            <w:tcW w:w="2500" w:type="dxa"/>
            <w:tcMar>
              <w:top w:w="60" w:type="dxa"/>
              <w:left w:w="100" w:type="dxa"/>
              <w:bottom w:w="60" w:type="dxa"/>
              <w:right w:w="100" w:type="dxa"/>
            </w:tcMar>
            <w:vAlign w:val="center"/>
          </w:tcPr>
          <w:p w14:paraId="75798952" w14:textId="77777777" w:rsidR="00DE3C3C" w:rsidRDefault="003C7DFB" w:rsidP="00535231">
            <w:pPr>
              <w:spacing w:after="0" w:line="240" w:lineRule="auto"/>
              <w:jc w:val="center"/>
              <w:rPr>
                <w:sz w:val="18"/>
                <w:szCs w:val="18"/>
              </w:rPr>
            </w:pPr>
            <w:r>
              <w:rPr>
                <w:sz w:val="18"/>
                <w:szCs w:val="18"/>
              </w:rPr>
              <w:t>14.5%</w:t>
            </w:r>
          </w:p>
        </w:tc>
        <w:tc>
          <w:tcPr>
            <w:tcW w:w="3640" w:type="dxa"/>
            <w:tcMar>
              <w:top w:w="60" w:type="dxa"/>
              <w:left w:w="100" w:type="dxa"/>
              <w:bottom w:w="60" w:type="dxa"/>
              <w:right w:w="100" w:type="dxa"/>
            </w:tcMar>
            <w:vAlign w:val="center"/>
          </w:tcPr>
          <w:p w14:paraId="529600D4" w14:textId="5E3C4F85" w:rsidR="00DE3C3C" w:rsidRDefault="003C7DFB" w:rsidP="00535231">
            <w:pPr>
              <w:spacing w:after="0" w:line="240" w:lineRule="auto"/>
              <w:jc w:val="center"/>
              <w:rPr>
                <w:sz w:val="18"/>
                <w:szCs w:val="18"/>
              </w:rPr>
            </w:pPr>
            <w:r>
              <w:rPr>
                <w:sz w:val="18"/>
                <w:szCs w:val="18"/>
              </w:rPr>
              <w:t>77</w:t>
            </w:r>
            <w:r w:rsidR="005061FA">
              <w:rPr>
                <w:sz w:val="18"/>
                <w:szCs w:val="18"/>
              </w:rPr>
              <w:t>,</w:t>
            </w:r>
            <w:r>
              <w:rPr>
                <w:sz w:val="18"/>
                <w:szCs w:val="18"/>
              </w:rPr>
              <w:t>94</w:t>
            </w:r>
          </w:p>
        </w:tc>
      </w:tr>
      <w:tr w:rsidR="00DE3C3C" w14:paraId="4DB0A793" w14:textId="77777777">
        <w:trPr>
          <w:cantSplit/>
          <w:jc w:val="center"/>
        </w:trPr>
        <w:tc>
          <w:tcPr>
            <w:tcW w:w="2500" w:type="dxa"/>
            <w:tcMar>
              <w:top w:w="60" w:type="dxa"/>
              <w:left w:w="100" w:type="dxa"/>
              <w:bottom w:w="60" w:type="dxa"/>
              <w:right w:w="100" w:type="dxa"/>
            </w:tcMar>
            <w:vAlign w:val="center"/>
          </w:tcPr>
          <w:p w14:paraId="32436AB6" w14:textId="77777777" w:rsidR="00DE3C3C" w:rsidRDefault="003C7DFB" w:rsidP="00535231">
            <w:pPr>
              <w:spacing w:after="0" w:line="240" w:lineRule="auto"/>
              <w:jc w:val="center"/>
              <w:rPr>
                <w:sz w:val="18"/>
                <w:szCs w:val="18"/>
              </w:rPr>
            </w:pPr>
            <w:r>
              <w:rPr>
                <w:sz w:val="18"/>
                <w:szCs w:val="18"/>
              </w:rPr>
              <w:t>2040</w:t>
            </w:r>
          </w:p>
        </w:tc>
        <w:tc>
          <w:tcPr>
            <w:tcW w:w="2500" w:type="dxa"/>
            <w:tcMar>
              <w:top w:w="60" w:type="dxa"/>
              <w:left w:w="100" w:type="dxa"/>
              <w:bottom w:w="60" w:type="dxa"/>
              <w:right w:w="100" w:type="dxa"/>
            </w:tcMar>
            <w:vAlign w:val="center"/>
          </w:tcPr>
          <w:p w14:paraId="5F619405" w14:textId="77777777" w:rsidR="00DE3C3C" w:rsidRDefault="003C7DFB" w:rsidP="00535231">
            <w:pPr>
              <w:spacing w:after="0" w:line="240" w:lineRule="auto"/>
              <w:jc w:val="center"/>
              <w:rPr>
                <w:sz w:val="18"/>
                <w:szCs w:val="18"/>
              </w:rPr>
            </w:pPr>
            <w:r>
              <w:rPr>
                <w:sz w:val="18"/>
                <w:szCs w:val="18"/>
              </w:rPr>
              <w:t>31%</w:t>
            </w:r>
          </w:p>
        </w:tc>
        <w:tc>
          <w:tcPr>
            <w:tcW w:w="3640" w:type="dxa"/>
            <w:tcMar>
              <w:top w:w="60" w:type="dxa"/>
              <w:left w:w="100" w:type="dxa"/>
              <w:bottom w:w="60" w:type="dxa"/>
              <w:right w:w="100" w:type="dxa"/>
            </w:tcMar>
            <w:vAlign w:val="center"/>
          </w:tcPr>
          <w:p w14:paraId="3D785DBB" w14:textId="48BD1AAD" w:rsidR="00DE3C3C" w:rsidRDefault="003C7DFB" w:rsidP="00535231">
            <w:pPr>
              <w:spacing w:after="0" w:line="240" w:lineRule="auto"/>
              <w:jc w:val="center"/>
              <w:rPr>
                <w:sz w:val="18"/>
                <w:szCs w:val="18"/>
              </w:rPr>
            </w:pPr>
            <w:r>
              <w:rPr>
                <w:sz w:val="18"/>
                <w:szCs w:val="18"/>
              </w:rPr>
              <w:t>62</w:t>
            </w:r>
            <w:r w:rsidR="005061FA">
              <w:rPr>
                <w:sz w:val="18"/>
                <w:szCs w:val="18"/>
              </w:rPr>
              <w:t>,</w:t>
            </w:r>
            <w:r>
              <w:rPr>
                <w:sz w:val="18"/>
                <w:szCs w:val="18"/>
              </w:rPr>
              <w:t>90</w:t>
            </w:r>
          </w:p>
        </w:tc>
      </w:tr>
      <w:tr w:rsidR="00DE3C3C" w14:paraId="43284C71" w14:textId="77777777">
        <w:trPr>
          <w:cantSplit/>
          <w:jc w:val="center"/>
        </w:trPr>
        <w:tc>
          <w:tcPr>
            <w:tcW w:w="2500" w:type="dxa"/>
            <w:tcMar>
              <w:top w:w="60" w:type="dxa"/>
              <w:left w:w="100" w:type="dxa"/>
              <w:bottom w:w="60" w:type="dxa"/>
              <w:right w:w="100" w:type="dxa"/>
            </w:tcMar>
            <w:vAlign w:val="center"/>
          </w:tcPr>
          <w:p w14:paraId="0D1987AD" w14:textId="77777777" w:rsidR="00DE3C3C" w:rsidRDefault="003C7DFB" w:rsidP="00535231">
            <w:pPr>
              <w:spacing w:after="0" w:line="240" w:lineRule="auto"/>
              <w:jc w:val="center"/>
              <w:rPr>
                <w:sz w:val="18"/>
                <w:szCs w:val="18"/>
              </w:rPr>
            </w:pPr>
            <w:r>
              <w:rPr>
                <w:sz w:val="18"/>
                <w:szCs w:val="18"/>
              </w:rPr>
              <w:t>2045</w:t>
            </w:r>
          </w:p>
        </w:tc>
        <w:tc>
          <w:tcPr>
            <w:tcW w:w="2500" w:type="dxa"/>
            <w:tcMar>
              <w:top w:w="60" w:type="dxa"/>
              <w:left w:w="100" w:type="dxa"/>
              <w:bottom w:w="60" w:type="dxa"/>
              <w:right w:w="100" w:type="dxa"/>
            </w:tcMar>
            <w:vAlign w:val="center"/>
          </w:tcPr>
          <w:p w14:paraId="2776A016" w14:textId="77777777" w:rsidR="00DE3C3C" w:rsidRDefault="003C7DFB" w:rsidP="00535231">
            <w:pPr>
              <w:spacing w:after="0" w:line="240" w:lineRule="auto"/>
              <w:jc w:val="center"/>
              <w:rPr>
                <w:sz w:val="18"/>
                <w:szCs w:val="18"/>
              </w:rPr>
            </w:pPr>
            <w:r>
              <w:rPr>
                <w:sz w:val="18"/>
                <w:szCs w:val="18"/>
              </w:rPr>
              <w:t>62%</w:t>
            </w:r>
          </w:p>
        </w:tc>
        <w:tc>
          <w:tcPr>
            <w:tcW w:w="3640" w:type="dxa"/>
            <w:tcMar>
              <w:top w:w="60" w:type="dxa"/>
              <w:left w:w="100" w:type="dxa"/>
              <w:bottom w:w="60" w:type="dxa"/>
              <w:right w:w="100" w:type="dxa"/>
            </w:tcMar>
            <w:vAlign w:val="center"/>
          </w:tcPr>
          <w:p w14:paraId="0CE8343A" w14:textId="65F17EC2" w:rsidR="00DE3C3C" w:rsidRDefault="003C7DFB" w:rsidP="00535231">
            <w:pPr>
              <w:spacing w:after="0" w:line="240" w:lineRule="auto"/>
              <w:jc w:val="center"/>
              <w:rPr>
                <w:sz w:val="18"/>
                <w:szCs w:val="18"/>
              </w:rPr>
            </w:pPr>
            <w:r>
              <w:rPr>
                <w:sz w:val="18"/>
                <w:szCs w:val="18"/>
              </w:rPr>
              <w:t>34</w:t>
            </w:r>
            <w:r w:rsidR="005061FA">
              <w:rPr>
                <w:sz w:val="18"/>
                <w:szCs w:val="18"/>
              </w:rPr>
              <w:t>,</w:t>
            </w:r>
            <w:r>
              <w:rPr>
                <w:sz w:val="18"/>
                <w:szCs w:val="18"/>
              </w:rPr>
              <w:t>64</w:t>
            </w:r>
          </w:p>
        </w:tc>
      </w:tr>
      <w:tr w:rsidR="00DE3C3C" w14:paraId="79967C0D" w14:textId="77777777">
        <w:trPr>
          <w:cantSplit/>
          <w:jc w:val="center"/>
        </w:trPr>
        <w:tc>
          <w:tcPr>
            <w:tcW w:w="2500" w:type="dxa"/>
            <w:tcMar>
              <w:top w:w="60" w:type="dxa"/>
              <w:left w:w="100" w:type="dxa"/>
              <w:bottom w:w="60" w:type="dxa"/>
              <w:right w:w="100" w:type="dxa"/>
            </w:tcMar>
            <w:vAlign w:val="center"/>
          </w:tcPr>
          <w:p w14:paraId="7C096DCE" w14:textId="77777777" w:rsidR="00DE3C3C" w:rsidRDefault="003C7DFB" w:rsidP="00535231">
            <w:pPr>
              <w:spacing w:after="0" w:line="240" w:lineRule="auto"/>
              <w:jc w:val="center"/>
              <w:rPr>
                <w:sz w:val="18"/>
                <w:szCs w:val="18"/>
              </w:rPr>
            </w:pPr>
            <w:r>
              <w:rPr>
                <w:sz w:val="18"/>
                <w:szCs w:val="18"/>
              </w:rPr>
              <w:t>2050</w:t>
            </w:r>
          </w:p>
        </w:tc>
        <w:tc>
          <w:tcPr>
            <w:tcW w:w="2500" w:type="dxa"/>
            <w:tcMar>
              <w:top w:w="60" w:type="dxa"/>
              <w:left w:w="100" w:type="dxa"/>
              <w:bottom w:w="60" w:type="dxa"/>
              <w:right w:w="100" w:type="dxa"/>
            </w:tcMar>
            <w:vAlign w:val="center"/>
          </w:tcPr>
          <w:p w14:paraId="10C6611D" w14:textId="77777777" w:rsidR="00DE3C3C" w:rsidRDefault="003C7DFB" w:rsidP="00535231">
            <w:pPr>
              <w:spacing w:after="0" w:line="240" w:lineRule="auto"/>
              <w:jc w:val="center"/>
              <w:rPr>
                <w:sz w:val="18"/>
                <w:szCs w:val="18"/>
              </w:rPr>
            </w:pPr>
            <w:r>
              <w:rPr>
                <w:sz w:val="18"/>
                <w:szCs w:val="18"/>
              </w:rPr>
              <w:t>80%</w:t>
            </w:r>
          </w:p>
        </w:tc>
        <w:tc>
          <w:tcPr>
            <w:tcW w:w="3640" w:type="dxa"/>
            <w:tcMar>
              <w:top w:w="60" w:type="dxa"/>
              <w:left w:w="100" w:type="dxa"/>
              <w:bottom w:w="60" w:type="dxa"/>
              <w:right w:w="100" w:type="dxa"/>
            </w:tcMar>
            <w:vAlign w:val="center"/>
          </w:tcPr>
          <w:p w14:paraId="258850F5" w14:textId="0E2223DF" w:rsidR="00DE3C3C" w:rsidRDefault="003C7DFB" w:rsidP="00535231">
            <w:pPr>
              <w:spacing w:after="0" w:line="240" w:lineRule="auto"/>
              <w:jc w:val="center"/>
              <w:rPr>
                <w:sz w:val="18"/>
                <w:szCs w:val="18"/>
              </w:rPr>
            </w:pPr>
            <w:r>
              <w:rPr>
                <w:sz w:val="18"/>
                <w:szCs w:val="18"/>
              </w:rPr>
              <w:t>18</w:t>
            </w:r>
            <w:r w:rsidR="005061FA">
              <w:rPr>
                <w:sz w:val="18"/>
                <w:szCs w:val="18"/>
              </w:rPr>
              <w:t>,</w:t>
            </w:r>
            <w:r>
              <w:rPr>
                <w:sz w:val="18"/>
                <w:szCs w:val="18"/>
              </w:rPr>
              <w:t>23</w:t>
            </w:r>
          </w:p>
        </w:tc>
      </w:tr>
    </w:tbl>
    <w:p w14:paraId="1D21EFA4" w14:textId="5742ED99" w:rsidR="00DE3C3C" w:rsidRDefault="003C7DFB">
      <w:pPr>
        <w:spacing w:before="60" w:after="200" w:line="240" w:lineRule="auto"/>
        <w:jc w:val="both"/>
      </w:pPr>
      <w:r>
        <w:rPr>
          <w:i/>
          <w:iCs/>
          <w:sz w:val="18"/>
          <w:szCs w:val="18"/>
        </w:rPr>
        <w:t>Μειώσεις από την [</w:t>
      </w:r>
      <w:r>
        <w:rPr>
          <w:i/>
          <w:iCs/>
          <w:sz w:val="18"/>
          <w:szCs w:val="18"/>
        </w:rPr>
        <w:fldChar w:fldCharType="begin"/>
      </w:r>
      <w:r>
        <w:rPr>
          <w:i/>
          <w:iCs/>
          <w:sz w:val="18"/>
          <w:szCs w:val="18"/>
        </w:rPr>
        <w:instrText xml:space="preserve"> REF _Ref_cit_61 \h \* MERGEFORMAT </w:instrText>
      </w:r>
      <w:r>
        <w:rPr>
          <w:i/>
          <w:iCs/>
          <w:sz w:val="18"/>
          <w:szCs w:val="18"/>
        </w:rPr>
      </w:r>
      <w:r>
        <w:rPr>
          <w:i/>
          <w:iCs/>
          <w:sz w:val="18"/>
          <w:szCs w:val="18"/>
        </w:rPr>
        <w:fldChar w:fldCharType="separate"/>
      </w:r>
      <w:r w:rsidR="00B0043E" w:rsidRPr="00B0043E">
        <w:rPr>
          <w:i/>
          <w:iCs/>
          <w:sz w:val="18"/>
          <w:szCs w:val="18"/>
        </w:rPr>
        <w:t>61</w:t>
      </w:r>
      <w:r>
        <w:rPr>
          <w:i/>
          <w:iCs/>
          <w:sz w:val="18"/>
          <w:szCs w:val="18"/>
        </w:rPr>
        <w:fldChar w:fldCharType="end"/>
      </w:r>
      <w:r>
        <w:rPr>
          <w:i/>
          <w:iCs/>
          <w:sz w:val="18"/>
          <w:szCs w:val="18"/>
        </w:rPr>
        <w:t>]· τα όρια υπολογίστηκαν από τον συγγραφέα με βάση την τιμή αναφοράς 91</w:t>
      </w:r>
      <w:r w:rsidR="005061FA">
        <w:rPr>
          <w:i/>
          <w:iCs/>
          <w:sz w:val="18"/>
          <w:szCs w:val="18"/>
        </w:rPr>
        <w:t>,</w:t>
      </w:r>
      <w:r>
        <w:rPr>
          <w:i/>
          <w:iCs/>
          <w:sz w:val="18"/>
          <w:szCs w:val="18"/>
        </w:rPr>
        <w:t xml:space="preserve">16 </w:t>
      </w:r>
      <w:proofErr w:type="spellStart"/>
      <w:r>
        <w:rPr>
          <w:i/>
          <w:iCs/>
          <w:sz w:val="18"/>
          <w:szCs w:val="18"/>
        </w:rPr>
        <w:t>gCO₂e</w:t>
      </w:r>
      <w:proofErr w:type="spellEnd"/>
      <w:r>
        <w:rPr>
          <w:i/>
          <w:iCs/>
          <w:sz w:val="18"/>
          <w:szCs w:val="18"/>
        </w:rPr>
        <w:t>/MJ [</w:t>
      </w:r>
      <w:r>
        <w:rPr>
          <w:i/>
          <w:iCs/>
          <w:sz w:val="18"/>
          <w:szCs w:val="18"/>
        </w:rPr>
        <w:fldChar w:fldCharType="begin"/>
      </w:r>
      <w:r>
        <w:rPr>
          <w:i/>
          <w:iCs/>
          <w:sz w:val="18"/>
          <w:szCs w:val="18"/>
        </w:rPr>
        <w:instrText xml:space="preserve"> REF _Ref_cit_58 \h \* MERGEFORMAT </w:instrText>
      </w:r>
      <w:r>
        <w:rPr>
          <w:i/>
          <w:iCs/>
          <w:sz w:val="18"/>
          <w:szCs w:val="18"/>
        </w:rPr>
      </w:r>
      <w:r>
        <w:rPr>
          <w:i/>
          <w:iCs/>
          <w:sz w:val="18"/>
          <w:szCs w:val="18"/>
        </w:rPr>
        <w:fldChar w:fldCharType="separate"/>
      </w:r>
      <w:r w:rsidR="00B0043E" w:rsidRPr="00B0043E">
        <w:rPr>
          <w:i/>
          <w:iCs/>
          <w:sz w:val="18"/>
          <w:szCs w:val="18"/>
        </w:rPr>
        <w:t>58</w:t>
      </w:r>
      <w:r>
        <w:rPr>
          <w:i/>
          <w:iCs/>
          <w:sz w:val="18"/>
          <w:szCs w:val="18"/>
        </w:rPr>
        <w:fldChar w:fldCharType="end"/>
      </w:r>
      <w:r>
        <w:rPr>
          <w:i/>
          <w:iCs/>
          <w:sz w:val="18"/>
          <w:szCs w:val="18"/>
        </w:rPr>
        <w:t>], [</w:t>
      </w:r>
      <w:r>
        <w:rPr>
          <w:i/>
          <w:iCs/>
          <w:sz w:val="18"/>
          <w:szCs w:val="18"/>
        </w:rPr>
        <w:fldChar w:fldCharType="begin"/>
      </w:r>
      <w:r>
        <w:rPr>
          <w:i/>
          <w:iCs/>
          <w:sz w:val="18"/>
          <w:szCs w:val="18"/>
        </w:rPr>
        <w:instrText xml:space="preserve"> REF _Ref_cit_61 \h \* MERGEFORMAT </w:instrText>
      </w:r>
      <w:r>
        <w:rPr>
          <w:i/>
          <w:iCs/>
          <w:sz w:val="18"/>
          <w:szCs w:val="18"/>
        </w:rPr>
      </w:r>
      <w:r>
        <w:rPr>
          <w:i/>
          <w:iCs/>
          <w:sz w:val="18"/>
          <w:szCs w:val="18"/>
        </w:rPr>
        <w:fldChar w:fldCharType="separate"/>
      </w:r>
      <w:r w:rsidR="00B0043E" w:rsidRPr="00B0043E">
        <w:rPr>
          <w:i/>
          <w:iCs/>
          <w:sz w:val="18"/>
          <w:szCs w:val="18"/>
        </w:rPr>
        <w:t>61</w:t>
      </w:r>
      <w:r>
        <w:rPr>
          <w:i/>
          <w:iCs/>
          <w:sz w:val="18"/>
          <w:szCs w:val="18"/>
        </w:rPr>
        <w:fldChar w:fldCharType="end"/>
      </w:r>
      <w:r>
        <w:rPr>
          <w:i/>
          <w:iCs/>
          <w:sz w:val="18"/>
          <w:szCs w:val="18"/>
        </w:rPr>
        <w:t>].</w:t>
      </w:r>
    </w:p>
    <w:p w14:paraId="6F4D3A82" w14:textId="77777777" w:rsidR="00783A1B" w:rsidRDefault="003C7DFB" w:rsidP="00783A1B">
      <w:pPr>
        <w:keepNext/>
        <w:spacing w:before="120" w:after="60"/>
        <w:jc w:val="center"/>
      </w:pPr>
      <w:r>
        <w:rPr>
          <w:noProof/>
        </w:rPr>
        <w:drawing>
          <wp:inline distT="0" distB="0" distL="0" distR="0" wp14:anchorId="6A517520" wp14:editId="52074DF3">
            <wp:extent cx="5120640" cy="2880360"/>
            <wp:effectExtent l="0" t="0" r="0" b="0"/>
            <wp:docPr id="9001" name="WAPS_figure_18" descr="Όριο έντασης GHG του FuelEU Maritime ανά έτος σε σύγκριση με πλοίο που κινείται με ορυκτά καύσιμα, με και χωρίς τον συντελεστή επιβράβευσης αιολικής ενέργεια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WAPS_figure_18"/>
                    <pic:cNvPicPr/>
                  </pic:nvPicPr>
                  <pic:blipFill>
                    <a:blip r:embed="rId28"/>
                    <a:stretch>
                      <a:fillRect/>
                    </a:stretch>
                  </pic:blipFill>
                  <pic:spPr>
                    <a:xfrm>
                      <a:off x="0" y="0"/>
                      <a:ext cx="5120640" cy="2880360"/>
                    </a:xfrm>
                    <a:prstGeom prst="rect">
                      <a:avLst/>
                    </a:prstGeom>
                  </pic:spPr>
                </pic:pic>
              </a:graphicData>
            </a:graphic>
          </wp:inline>
        </w:drawing>
      </w:r>
    </w:p>
    <w:p w14:paraId="39F3363A" w14:textId="2124F739" w:rsidR="00DE3C3C" w:rsidRPr="00EA2A2D" w:rsidRDefault="00783A1B" w:rsidP="00783A1B">
      <w:pPr>
        <w:pStyle w:val="af2"/>
        <w:jc w:val="center"/>
        <w:rPr>
          <w:b/>
          <w:bCs/>
        </w:rPr>
      </w:pPr>
      <w:bookmarkStart w:id="150" w:name="_Toc243355384"/>
      <w:r w:rsidRPr="00EA2A2D">
        <w:rPr>
          <w:b/>
          <w:bCs/>
        </w:rPr>
        <w:t xml:space="preserve">Εικόνα </w:t>
      </w:r>
      <w:r w:rsidRPr="00EA2A2D">
        <w:rPr>
          <w:b/>
          <w:bCs/>
        </w:rPr>
        <w:fldChar w:fldCharType="begin"/>
      </w:r>
      <w:r w:rsidRPr="00EA2A2D">
        <w:rPr>
          <w:b/>
          <w:bCs/>
        </w:rPr>
        <w:instrText xml:space="preserve"> SEQ </w:instrText>
      </w:r>
      <w:r w:rsidRPr="00EA2A2D">
        <w:rPr>
          <w:b/>
          <w:bCs/>
          <w:lang w:val="en-US"/>
        </w:rPr>
        <w:instrText>Figure</w:instrText>
      </w:r>
      <w:r w:rsidRPr="00EA2A2D">
        <w:rPr>
          <w:b/>
          <w:bCs/>
        </w:rPr>
        <w:instrText xml:space="preserve"> \* ARABIC </w:instrText>
      </w:r>
      <w:r w:rsidRPr="00EA2A2D">
        <w:rPr>
          <w:b/>
          <w:bCs/>
        </w:rPr>
        <w:fldChar w:fldCharType="separate"/>
      </w:r>
      <w:r w:rsidR="00B0043E">
        <w:rPr>
          <w:b/>
          <w:bCs/>
          <w:noProof/>
        </w:rPr>
        <w:t>19</w:t>
      </w:r>
      <w:r w:rsidRPr="00EA2A2D">
        <w:rPr>
          <w:b/>
          <w:bCs/>
        </w:rPr>
        <w:fldChar w:fldCharType="end"/>
      </w:r>
      <w:r w:rsidR="00EA2A2D" w:rsidRPr="00EA2A2D">
        <w:rPr>
          <w:b/>
          <w:bCs/>
        </w:rPr>
        <w:t>9</w:t>
      </w:r>
      <w:r w:rsidRPr="00EA2A2D">
        <w:rPr>
          <w:b/>
          <w:bCs/>
        </w:rPr>
        <w:t xml:space="preserve">:Όριο έντασης αερίων θερμοκηπίου του </w:t>
      </w:r>
      <w:proofErr w:type="spellStart"/>
      <w:r w:rsidRPr="00EA2A2D">
        <w:rPr>
          <w:b/>
          <w:bCs/>
        </w:rPr>
        <w:t>FuelEU</w:t>
      </w:r>
      <w:proofErr w:type="spellEnd"/>
      <w:r w:rsidRPr="00EA2A2D">
        <w:rPr>
          <w:b/>
          <w:bCs/>
        </w:rPr>
        <w:t xml:space="preserve"> Maritime σε σύγκριση με ενδεικτικό πλοίο που κινείται με ορυκτά καύσιμα, με και χωρίς τον συντελεστή επιβράβευσης αιολικής ενέργειας.</w:t>
      </w:r>
      <w:bookmarkEnd w:id="150"/>
    </w:p>
    <w:p w14:paraId="42742C22" w14:textId="7F84315D" w:rsidR="00DE3C3C" w:rsidRDefault="00DE3C3C" w:rsidP="002C5EB1">
      <w:pPr>
        <w:pStyle w:val="af2"/>
        <w:rPr>
          <w:b/>
          <w:bCs/>
          <w:noProof/>
        </w:rPr>
      </w:pPr>
    </w:p>
    <w:p w14:paraId="7DCDDEC0" w14:textId="77777777" w:rsidR="00DE3C3C" w:rsidRDefault="00DE3C3C">
      <w:pPr>
        <w:spacing w:after="120"/>
      </w:pPr>
    </w:p>
    <w:p w14:paraId="5DE77A1D" w14:textId="720C0852" w:rsidR="00DE3C3C" w:rsidRDefault="003C7DFB">
      <w:pPr>
        <w:spacing w:line="360" w:lineRule="auto"/>
        <w:ind w:firstLine="576"/>
        <w:jc w:val="both"/>
      </w:pPr>
      <w:r>
        <w:t>Η συμμόρφωση αξιολογείται ετησίως μέσω του ισοζυγίου συμμόρφωσης, δηλαδή της διαφοράς μεταξύ του ορίου και της επιτευχθείσας έντασης αερίων θερμοκηπίου, πολλαπλασιασμένης με την ενέργεια που χρησιμοποιήθηκε. Ένα πλοίο με θετικό ισοζύγιο διαθέτει πλεόνασμα, το οποίο μπορεί να αποταμιευθεί (</w:t>
      </w:r>
      <w:proofErr w:type="spellStart"/>
      <w:r>
        <w:t>banking</w:t>
      </w:r>
      <w:proofErr w:type="spellEnd"/>
      <w:r>
        <w:t>) για χρήση σε επόμενα έτη ή να μεταφερθεί σε άλλα πλοία μέσω συγκέντρωσης (</w:t>
      </w:r>
      <w:proofErr w:type="spellStart"/>
      <w:r>
        <w:t>pooling</w:t>
      </w:r>
      <w:proofErr w:type="spellEnd"/>
      <w:r>
        <w:t>). Ένα πλοίο με έλλειμμα πρέπει να το καλύψει με δανεισμό από το επόμενο έτος, με αποταμίευση ή μέσω συγκέντρωσης με πλοίο που διαθέτει πλεόνασμα· ένα έλλειμμα που δεν καλύπτεται επισύρει κύρωση 2</w:t>
      </w:r>
      <w:r w:rsidR="009F29A4">
        <w:t>.</w:t>
      </w:r>
      <w:r>
        <w:t>400</w:t>
      </w:r>
      <w:r w:rsidR="009F29A4">
        <w:t xml:space="preserve"> EUR</w:t>
      </w:r>
      <w:r>
        <w:t xml:space="preserve"> ανά τόνο ισοδύναμου μαζούτ πολύ </w:t>
      </w:r>
      <w:r>
        <w:lastRenderedPageBreak/>
        <w:t>χαμηλής περιεκτικότητας σε θείο (με ενεργειακό περιεχόμενο 41</w:t>
      </w:r>
      <w:r w:rsidR="009F29A4">
        <w:t>.</w:t>
      </w:r>
      <w:r>
        <w:t>000 MJ ανά τόνο), η οποία αυξάνεται κατά 10% για κάθε διαδοχική περίοδο μη συμμόρφωσης</w:t>
      </w:r>
      <w:r w:rsidR="001D052A">
        <w:t xml:space="preserve"> (</w:t>
      </w:r>
      <w:r w:rsidR="006E2F9B">
        <w:t>ένα ημερολογιακό έτος)</w:t>
      </w:r>
      <w:r>
        <w:t xml:space="preserve"> [</w:t>
      </w:r>
      <w:r>
        <w:fldChar w:fldCharType="begin"/>
      </w:r>
      <w:r>
        <w:instrText xml:space="preserve"> REF _Ref_cit_50 \h \* MERGEFORMAT </w:instrText>
      </w:r>
      <w:r>
        <w:fldChar w:fldCharType="separate"/>
      </w:r>
      <w:r w:rsidR="00B0043E" w:rsidRPr="00B0043E">
        <w:t>50</w:t>
      </w:r>
      <w:r>
        <w:fldChar w:fldCharType="end"/>
      </w:r>
      <w:r>
        <w:t>], [</w:t>
      </w:r>
      <w:r>
        <w:fldChar w:fldCharType="begin"/>
      </w:r>
      <w:r>
        <w:instrText xml:space="preserve"> REF _Ref_cit_61 \h \* MERGEFORMAT </w:instrText>
      </w:r>
      <w:r>
        <w:fldChar w:fldCharType="separate"/>
      </w:r>
      <w:r w:rsidR="00B0043E" w:rsidRPr="00B0043E">
        <w:t>61</w:t>
      </w:r>
      <w:r>
        <w:fldChar w:fldCharType="end"/>
      </w:r>
      <w:r>
        <w:t>]. Η κύρωση μπορεί επομένως να εκφραστεί ανά τόνο καυσίμου που καίγεται ως</w:t>
      </w:r>
    </w:p>
    <w:p w14:paraId="144488DF" w14:textId="5A745C4A" w:rsidR="00DE3C3C" w:rsidRDefault="003C7DFB">
      <w:pPr>
        <w:spacing w:before="120" w:after="120" w:line="360" w:lineRule="auto"/>
        <w:jc w:val="center"/>
      </w:pPr>
      <w:r>
        <w:t xml:space="preserve">Κύρωση ≈ (Έλλειμμα σε </w:t>
      </w:r>
      <w:proofErr w:type="spellStart"/>
      <w:r>
        <w:t>gCO₂e</w:t>
      </w:r>
      <w:proofErr w:type="spellEnd"/>
      <w:r>
        <w:t xml:space="preserve">/MJ ÷ </w:t>
      </w:r>
      <w:r w:rsidR="00804427">
        <w:t>Πραγματική</w:t>
      </w:r>
      <w:r>
        <w:t xml:space="preserve"> ένταση GHG σε </w:t>
      </w:r>
      <w:proofErr w:type="spellStart"/>
      <w:r>
        <w:t>gCO₂e</w:t>
      </w:r>
      <w:proofErr w:type="spellEnd"/>
      <w:r>
        <w:t>/MJ) × 2</w:t>
      </w:r>
      <w:r w:rsidR="00CC7E27">
        <w:t>.</w:t>
      </w:r>
      <w:r>
        <w:t xml:space="preserve">400 </w:t>
      </w:r>
      <w:r w:rsidR="00CC7E27">
        <w:rPr>
          <w:lang w:val="en-US"/>
        </w:rPr>
        <w:t>EUR</w:t>
      </w:r>
      <w:r w:rsidR="00CC7E27" w:rsidRPr="00CC7E27">
        <w:t xml:space="preserve"> </w:t>
      </w:r>
      <w:r>
        <w:t>ανά τόνο καυσίμου</w:t>
      </w:r>
    </w:p>
    <w:p w14:paraId="517C2DB0" w14:textId="77777777" w:rsidR="00DE3C3C" w:rsidRDefault="003C7DFB">
      <w:pPr>
        <w:pStyle w:val="30"/>
      </w:pPr>
      <w:bookmarkStart w:id="151" w:name="_Toc243355321"/>
      <w:r>
        <w:t xml:space="preserve">Αναγνώριση της αιολικής υποβοήθησης της πρόωσης στο πλαίσιο του </w:t>
      </w:r>
      <w:proofErr w:type="spellStart"/>
      <w:r>
        <w:t>FuelEU</w:t>
      </w:r>
      <w:proofErr w:type="spellEnd"/>
      <w:r>
        <w:t xml:space="preserve"> Maritime</w:t>
      </w:r>
      <w:bookmarkEnd w:id="151"/>
    </w:p>
    <w:p w14:paraId="23F19DA5" w14:textId="28E513B2" w:rsidR="00DE3C3C" w:rsidRDefault="003C7DFB">
      <w:pPr>
        <w:spacing w:line="360" w:lineRule="auto"/>
        <w:ind w:firstLine="576"/>
        <w:jc w:val="both"/>
      </w:pPr>
      <w:r>
        <w:t xml:space="preserve">Ο </w:t>
      </w:r>
      <w:proofErr w:type="spellStart"/>
      <w:r>
        <w:t>FuelEU</w:t>
      </w:r>
      <w:proofErr w:type="spellEnd"/>
      <w:r>
        <w:t xml:space="preserve"> Maritime είναι ο πρώτος δεσμευτικός κανονισμός που αναγνωρίζει ρητά την αιολική πρόωση. Εισάγει έναν συντελεστή επιβράβευσης αιολικής ενέργειας (</w:t>
      </w:r>
      <w:proofErr w:type="spellStart"/>
      <w:r>
        <w:t>wind</w:t>
      </w:r>
      <w:proofErr w:type="spellEnd"/>
      <w:r>
        <w:t xml:space="preserve"> </w:t>
      </w:r>
      <w:proofErr w:type="spellStart"/>
      <w:r>
        <w:t>reward</w:t>
      </w:r>
      <w:proofErr w:type="spellEnd"/>
      <w:r>
        <w:t xml:space="preserve"> </w:t>
      </w:r>
      <w:proofErr w:type="spellStart"/>
      <w:r>
        <w:t>factor</w:t>
      </w:r>
      <w:proofErr w:type="spellEnd"/>
      <w:r>
        <w:t xml:space="preserve">, </w:t>
      </w:r>
      <w:proofErr w:type="spellStart"/>
      <w:r>
        <w:t>f</w:t>
      </w:r>
      <w:r>
        <w:rPr>
          <w:vertAlign w:val="subscript"/>
        </w:rPr>
        <w:t>wind</w:t>
      </w:r>
      <w:proofErr w:type="spellEnd"/>
      <w:r>
        <w:t>), ο οποίος μειώνει την υπολογιζόμενη ένταση αερίων θερμοκηπίου ενός πλοίου του οποίου η αιολική υποβοήθηση της πρόωσης παρέχει ένα καθορισμένο μερίδιο της ισχύος πρόωσης. Συντελεστής 0</w:t>
      </w:r>
      <w:r w:rsidR="00BB0047">
        <w:t>,</w:t>
      </w:r>
      <w:r>
        <w:t>99 εφαρμόζεται όταν ο λόγος της αιολικής ισχύος πρόωσης προς τη συνολική ισχύ πρόωσης φθάνει το 5%, 0</w:t>
      </w:r>
      <w:r w:rsidR="00BB0047">
        <w:t>,</w:t>
      </w:r>
      <w:r>
        <w:t>97 στο 10% και 0</w:t>
      </w:r>
      <w:r w:rsidR="00BB0047">
        <w:t>,</w:t>
      </w:r>
      <w:r>
        <w:t>95 στο 15% ή περισσότερο [</w:t>
      </w:r>
      <w:r>
        <w:fldChar w:fldCharType="begin"/>
      </w:r>
      <w:r>
        <w:instrText xml:space="preserve"> REF _Ref_cit_58 \h \* MERGEFORMAT </w:instrText>
      </w:r>
      <w:r>
        <w:fldChar w:fldCharType="separate"/>
      </w:r>
      <w:r w:rsidR="00B0043E" w:rsidRPr="00B0043E">
        <w:t>58</w:t>
      </w:r>
      <w:r>
        <w:fldChar w:fldCharType="end"/>
      </w:r>
      <w:r>
        <w:t>], [</w:t>
      </w:r>
      <w:r>
        <w:fldChar w:fldCharType="begin"/>
      </w:r>
      <w:r>
        <w:instrText xml:space="preserve"> REF _Ref_cit_59 \h \* MERGEFORMAT </w:instrText>
      </w:r>
      <w:r>
        <w:fldChar w:fldCharType="separate"/>
      </w:r>
      <w:r w:rsidR="00B0043E" w:rsidRPr="00B0043E">
        <w:t>59</w:t>
      </w:r>
      <w:r>
        <w:fldChar w:fldCharType="end"/>
      </w:r>
      <w:r>
        <w:t>]. Στην πράξη, ένα WAPS που παρέχει το 15% της ισχύος πρόωσης μειώνει την επιτευχθείσα ένταση αερίων θερμοκηπίου του πλοίου κατά 5%, επιπλέον της μείωσης της κατανάλωσης καυσίμου που προκαλεί η αιολική ώση. Η επιβράβευση της αιολικής ενέργειας λειτουργεί επομένως διπλά: μία φορά μέσω του καυσίμου που εξοικονομείται και μία φορά μέσω του ευνοϊκότερου ισοζυγίου συμμόρφωσης για το καύσιμο που εξακολουθεί να καίγεται.</w:t>
      </w:r>
    </w:p>
    <w:p w14:paraId="07397B37" w14:textId="1337FBEA" w:rsidR="00DE3C3C" w:rsidRDefault="003C7DFB">
      <w:pPr>
        <w:spacing w:line="360" w:lineRule="auto"/>
        <w:ind w:firstLine="576"/>
        <w:jc w:val="both"/>
      </w:pPr>
      <w:r>
        <w:t xml:space="preserve">Η βιβλιογραφία που έχει αρχίσει να </w:t>
      </w:r>
      <w:proofErr w:type="spellStart"/>
      <w:r>
        <w:t>ποσοτικοποιεί</w:t>
      </w:r>
      <w:proofErr w:type="spellEnd"/>
      <w:r>
        <w:t xml:space="preserve"> αυτή την επίδραση είναι περιορισμένη. Μια μελέτη μετασκευής του </w:t>
      </w:r>
      <w:proofErr w:type="spellStart"/>
      <w:r>
        <w:t>China</w:t>
      </w:r>
      <w:proofErr w:type="spellEnd"/>
      <w:r>
        <w:t xml:space="preserve"> </w:t>
      </w:r>
      <w:proofErr w:type="spellStart"/>
      <w:r>
        <w:t>Classification</w:t>
      </w:r>
      <w:proofErr w:type="spellEnd"/>
      <w:r>
        <w:t xml:space="preserve"> Society για ένα πλοίο μεταφοράς αυτοκινήτων και φορτηγών οχημάτων (</w:t>
      </w:r>
      <w:proofErr w:type="spellStart"/>
      <w:r>
        <w:t>pure</w:t>
      </w:r>
      <w:proofErr w:type="spellEnd"/>
      <w:r>
        <w:t xml:space="preserve"> </w:t>
      </w:r>
      <w:proofErr w:type="spellStart"/>
      <w:r>
        <w:t>car</w:t>
      </w:r>
      <w:proofErr w:type="spellEnd"/>
      <w:r>
        <w:t xml:space="preserve"> and </w:t>
      </w:r>
      <w:proofErr w:type="spellStart"/>
      <w:r>
        <w:t>truck</w:t>
      </w:r>
      <w:proofErr w:type="spellEnd"/>
      <w:r>
        <w:t xml:space="preserve"> </w:t>
      </w:r>
      <w:proofErr w:type="spellStart"/>
      <w:r>
        <w:t>carrier</w:t>
      </w:r>
      <w:proofErr w:type="spellEnd"/>
      <w:r>
        <w:t>) χωρητικότητας 7</w:t>
      </w:r>
      <w:r w:rsidR="00BB0047">
        <w:t>.</w:t>
      </w:r>
      <w:r>
        <w:t>500 ισοδύναμων μονάδων αυτοκινήτου, σε διαδρομή Κίνας–Ευρώπης, κατέληξε ότι μια εγκατάσταση αιολικής υποβοήθησης που επιτυγχάνει τον συντελεστή 0</w:t>
      </w:r>
      <w:r w:rsidR="00BB0047">
        <w:t>,</w:t>
      </w:r>
      <w:r>
        <w:t>95, με υποτιθέμενη επένδυση 5 εκατομμυρίων</w:t>
      </w:r>
      <w:r w:rsidR="00BB0047">
        <w:t xml:space="preserve"> USD</w:t>
      </w:r>
      <w:r>
        <w:t>, θα μείωνε τις σωρευτικές</w:t>
      </w:r>
      <w:r w:rsidR="00BB0047">
        <w:t xml:space="preserve"> </w:t>
      </w:r>
      <w:r>
        <w:t xml:space="preserve">κυρώσεις </w:t>
      </w:r>
      <w:r w:rsidR="00BB0047">
        <w:t>από τον</w:t>
      </w:r>
      <w:r>
        <w:t xml:space="preserve"> </w:t>
      </w:r>
      <w:proofErr w:type="spellStart"/>
      <w:r>
        <w:t>FuelEU</w:t>
      </w:r>
      <w:proofErr w:type="spellEnd"/>
      <w:r>
        <w:t xml:space="preserve"> σε διάστημα 15 ετών από 29</w:t>
      </w:r>
      <w:r w:rsidR="00BB0047">
        <w:t>,</w:t>
      </w:r>
      <w:r>
        <w:t>08 εκατομμύρια</w:t>
      </w:r>
      <w:r w:rsidR="00BB0047">
        <w:t xml:space="preserve"> EUR </w:t>
      </w:r>
      <w:r>
        <w:t>σε 14</w:t>
      </w:r>
      <w:r w:rsidR="00BB0047">
        <w:t>,</w:t>
      </w:r>
      <w:r>
        <w:t>64 εκατομμύρια</w:t>
      </w:r>
      <w:r w:rsidR="00BB0047">
        <w:t xml:space="preserve"> EUR</w:t>
      </w:r>
      <w:r>
        <w:t xml:space="preserve"> [</w:t>
      </w:r>
      <w:r>
        <w:fldChar w:fldCharType="begin"/>
      </w:r>
      <w:r>
        <w:instrText xml:space="preserve"> REF _Ref_cit_59 \h \* MERGEFORMAT </w:instrText>
      </w:r>
      <w:r>
        <w:fldChar w:fldCharType="separate"/>
      </w:r>
      <w:r w:rsidR="00B0043E" w:rsidRPr="00B0043E">
        <w:t>59</w:t>
      </w:r>
      <w:r>
        <w:fldChar w:fldCharType="end"/>
      </w:r>
      <w:r>
        <w:t xml:space="preserve">]. Πρόκειται για αποτέλεσμα ενός μόνο πλοίου υπό συγκεκριμένες παραδοχές, το οποίο δεν πρέπει να γενικεύεται, ωστόσο υποδεικνύει ότι ο συντελεστής επιβράβευσης μπορεί να είναι σημαντικός σε σχέση με το κόστος επένδυσης. Μια ακόμη πρακτική παρατήρηση είναι ότι, επειδή το ισοζύγιο συμμόρφωσης είναι ανάλογο της ενέργειας που </w:t>
      </w:r>
      <w:r w:rsidR="00274019">
        <w:t>καταναλώνεται</w:t>
      </w:r>
      <w:r>
        <w:t xml:space="preserve">, ένα πλοίο που </w:t>
      </w:r>
      <w:r>
        <w:lastRenderedPageBreak/>
        <w:t>βελτιώνει την απόδοσή του μειώνει επίσης τον όγκο του πλεονάσματος που θα μπορούσε να διαθέσει σε συγκέντρωση (</w:t>
      </w:r>
      <w:proofErr w:type="spellStart"/>
      <w:r>
        <w:t>pooling</w:t>
      </w:r>
      <w:proofErr w:type="spellEnd"/>
      <w:r>
        <w:t>), οπότε μέρος του οφέλους του συντελεστή επιβράβευσης αντισταθμίζεται στα πλοία που παράγουν πλεόνασμα [</w:t>
      </w:r>
      <w:r>
        <w:fldChar w:fldCharType="begin"/>
      </w:r>
      <w:r>
        <w:instrText xml:space="preserve"> REF _Ref_cit_62 \h \* MERGEFORMAT </w:instrText>
      </w:r>
      <w:r>
        <w:fldChar w:fldCharType="separate"/>
      </w:r>
      <w:r w:rsidR="00B0043E" w:rsidRPr="00B0043E">
        <w:t>62</w:t>
      </w:r>
      <w:r>
        <w:fldChar w:fldCharType="end"/>
      </w:r>
      <w:r>
        <w:t>]. Η αλληλεπίδραση αυτή δεν αφορά ειδικά τα WAPS, αλλά ισχύει για κάθε μέτρο εξοικονόμησης ενέργειας.</w:t>
      </w:r>
    </w:p>
    <w:p w14:paraId="4338B044" w14:textId="77777777" w:rsidR="00DE3C3C" w:rsidRDefault="003C7DFB">
      <w:pPr>
        <w:pStyle w:val="20"/>
      </w:pPr>
      <w:bookmarkStart w:id="152" w:name="_Toc243355322"/>
      <w:r>
        <w:t>Το κανονιστικό πλαίσιο του IMO</w:t>
      </w:r>
      <w:bookmarkEnd w:id="152"/>
    </w:p>
    <w:p w14:paraId="501530AB" w14:textId="77777777" w:rsidR="00DE3C3C" w:rsidRDefault="003C7DFB">
      <w:pPr>
        <w:pStyle w:val="30"/>
      </w:pPr>
      <w:bookmarkStart w:id="153" w:name="_Toc243355323"/>
      <w:r>
        <w:t>Η Στρατηγική του IMO του 2023 για τη μείωση των εκπομπών αερίων θερμοκηπίου από τα πλοία</w:t>
      </w:r>
      <w:bookmarkEnd w:id="153"/>
    </w:p>
    <w:p w14:paraId="57F8E0AB" w14:textId="551291F8" w:rsidR="00DE3C3C" w:rsidRDefault="003C7DFB">
      <w:pPr>
        <w:spacing w:line="360" w:lineRule="auto"/>
        <w:ind w:firstLine="576"/>
        <w:jc w:val="both"/>
      </w:pPr>
      <w:r>
        <w:t>Οι στόχοι πολιτικής στους οποίους βασίζονται τα μέτρα του IMO διατυπώνονται στη Στρατηγική του IMO του 2023 για τη μείωση των εκπομπών αερίων θερμοκηπίου από τα πλοία, η οποία υιοθετήθηκε από την Επιτροπή Προστασίας του Θαλάσσιου Περιβάλλοντος κατά την 80ή σύνοδό της, τον Ιούλιο του 2023 (ψήφισμα MEPC.377(80)), και αντικατέστησε την Αρχική Στρατηγική του 2018 [</w:t>
      </w:r>
      <w:r>
        <w:fldChar w:fldCharType="begin"/>
      </w:r>
      <w:r>
        <w:instrText xml:space="preserve"> REF _Ref_cit_9 \h \* MERGEFORMAT </w:instrText>
      </w:r>
      <w:r>
        <w:fldChar w:fldCharType="separate"/>
      </w:r>
      <w:r w:rsidR="00B0043E" w:rsidRPr="00B0043E">
        <w:t>9</w:t>
      </w:r>
      <w:r>
        <w:fldChar w:fldCharType="end"/>
      </w:r>
      <w:r>
        <w:t>]. Ως συνολικό όραμα, η Στρατηγική ορίζει ότι οι εκπομπές αερίων θερμοκηπίου της διεθνούς ναυτιλίας πρέπει να φθάσουν στο καθαρό μηδέν έως ή γύρω στο 2050 και να κορυφωθούν το συντομότερο δυνατόν. Υποστηρίζεται από τρία επίπεδα φιλοδοξίας και δύο ενδεικτικά σημεία ελέγχου</w:t>
      </w:r>
      <w:r w:rsidR="000705CD" w:rsidRPr="000705CD">
        <w:t xml:space="preserve">· </w:t>
      </w:r>
      <w:r>
        <w:t>μείωση της έντασης άνθρακα των πλοίων κατά τουλάχιστον 40% έως το 2030 σε σχέση με το 2008</w:t>
      </w:r>
      <w:r w:rsidR="00CE60B3">
        <w:t>,</w:t>
      </w:r>
      <w:r>
        <w:t xml:space="preserve"> χρήση καυσίμων μηδενικών ή σχεδόν μηδενικών εκπομπών αερίων θερμοκηπίου σε ποσοστό τουλάχιστον 5% (με επιδίωξη το 10%) της χρησιμοποιούμενης ενέργειας έως το 2030· και ενδεικτικά σημεία ελέγχου μείωσης των συνολικών ετήσιων εκπομπών αερίων θερμοκηπίου κατά τουλάχιστον 20% (με επιδίωξη το 30%) έως το 2030 και κατά τουλάχιστον 70% (με επιδίωξη το 80%) έως το 2040, σε σχέση με το 2008. Τα επίπεδα φιλοδοξίας και τα σημεία ελέγχου νοούνται σε βάση «από την </w:t>
      </w:r>
      <w:r w:rsidR="00CE60B3">
        <w:t>παραγωγή</w:t>
      </w:r>
      <w:r>
        <w:t xml:space="preserve"> έως την </w:t>
      </w:r>
      <w:r w:rsidR="00CE60B3">
        <w:t>καύση</w:t>
      </w:r>
      <w:r>
        <w:t>» (</w:t>
      </w:r>
      <w:proofErr w:type="spellStart"/>
      <w:r>
        <w:t>well-to-wake</w:t>
      </w:r>
      <w:proofErr w:type="spellEnd"/>
      <w:r>
        <w:t>), σύμφωνα με τις κατευθυντήριες γραμμές του IMO για την ένταση αερίων θερμοκηπίου των ναυτιλιακών καυσίμων σε όλο τον κύκλο ζωής τους (ψήφισμα MEPC.376(80)) [</w:t>
      </w:r>
      <w:r>
        <w:fldChar w:fldCharType="begin"/>
      </w:r>
      <w:r>
        <w:instrText xml:space="preserve"> REF _Ref_cit_9 \h \* MERGEFORMAT </w:instrText>
      </w:r>
      <w:r>
        <w:fldChar w:fldCharType="separate"/>
      </w:r>
      <w:r w:rsidR="00B0043E" w:rsidRPr="00B0043E">
        <w:t>9</w:t>
      </w:r>
      <w:r>
        <w:fldChar w:fldCharType="end"/>
      </w:r>
      <w:r>
        <w:t>].</w:t>
      </w:r>
    </w:p>
    <w:p w14:paraId="1F6D9295" w14:textId="77777777" w:rsidR="00DE3C3C" w:rsidRDefault="003C7DFB">
      <w:pPr>
        <w:pStyle w:val="30"/>
      </w:pPr>
      <w:bookmarkStart w:id="154" w:name="_Toc243355324"/>
      <w:r>
        <w:t>EEDI και EEXI</w:t>
      </w:r>
      <w:bookmarkEnd w:id="154"/>
    </w:p>
    <w:p w14:paraId="499D2444" w14:textId="534AE045" w:rsidR="00DE3C3C" w:rsidRDefault="003C7DFB">
      <w:pPr>
        <w:spacing w:line="360" w:lineRule="auto"/>
        <w:ind w:firstLine="576"/>
        <w:jc w:val="both"/>
      </w:pPr>
      <w:r>
        <w:t xml:space="preserve">Ο Δείκτης Ενεργειακής Απόδοσης Σχεδίασης (EEDI) εφαρμόζεται στα νέα πλοία από το 2013 και θέτει διαδοχικές, όλο και αυστηρότερες φάσεις απαιτούμενης απόδοσης, ενώ ο Δείκτης Ενεργειακής Απόδοσης Υφιστάμενων Πλοίων (EEXI), ο οποίος τέθηκε σε ισχύ με τις τροποποιήσεις του Παραρτήματος VI της MARPOL την 1η Νοεμβρίου 2022 και κατέστη υποχρεωτικός από την 1η Ιανουαρίου 2023, </w:t>
      </w:r>
      <w:r>
        <w:lastRenderedPageBreak/>
        <w:t>εφαρμόζει την ίδια αρχή σε πλοία 400 GT και άνω που ναυπηγήθηκαν νωρίτερα [</w:t>
      </w:r>
      <w:r>
        <w:fldChar w:fldCharType="begin"/>
      </w:r>
      <w:r>
        <w:instrText xml:space="preserve"> REF _Ref_cit_13 \h \* MERGEFORMAT </w:instrText>
      </w:r>
      <w:r>
        <w:fldChar w:fldCharType="separate"/>
      </w:r>
      <w:r w:rsidR="00B0043E" w:rsidRPr="00B0043E">
        <w:t>13</w:t>
      </w:r>
      <w:r>
        <w:fldChar w:fldCharType="end"/>
      </w:r>
      <w:r>
        <w:t>]. Για κάθε πλοίο, ο επιτευχθείς EEXI πρέπει να είναι μικρότερος από τον απαιτούμενο EEXI, ο οποίος προκύπτει από τη γραμμή αναφοράς του EEDI με συντελεστή μείωσης που εξαρτάται από τον τύπο και το μέγεθος του πλοίου [</w:t>
      </w:r>
      <w:r>
        <w:fldChar w:fldCharType="begin"/>
      </w:r>
      <w:r>
        <w:instrText xml:space="preserve"> REF _Ref_cit_13 \h \* MERGEFORMAT </w:instrText>
      </w:r>
      <w:r>
        <w:fldChar w:fldCharType="separate"/>
      </w:r>
      <w:r w:rsidR="00B0043E" w:rsidRPr="00B0043E">
        <w:t>13</w:t>
      </w:r>
      <w:r>
        <w:fldChar w:fldCharType="end"/>
      </w:r>
      <w:r>
        <w:t xml:space="preserve">]. Σύμφωνα με τις </w:t>
      </w:r>
      <w:proofErr w:type="spellStart"/>
      <w:r>
        <w:t>επικαιροποιημένες</w:t>
      </w:r>
      <w:proofErr w:type="spellEnd"/>
      <w:r>
        <w:t xml:space="preserve"> κατευθυντήριες γραμμές του IMO, η ώση που παρέχουν τα WAPS πιστώνεται στον επιτευχθέντα δείκτη ως μείωση της απαιτούμενης ισχύος της κύριας μηχανής, οπότε τα WAPS βοηθούν ένα πλοίο να συμμορφωθεί με αυστηρότερες φάσεις χωρίς περιορισμό της ισχύος της μηχανής του [</w:t>
      </w:r>
      <w:r>
        <w:fldChar w:fldCharType="begin"/>
      </w:r>
      <w:r>
        <w:instrText xml:space="preserve"> REF _Ref_cit_45 \h \* MERGEFORMAT </w:instrText>
      </w:r>
      <w:r>
        <w:fldChar w:fldCharType="separate"/>
      </w:r>
      <w:r w:rsidR="00B0043E" w:rsidRPr="00B0043E">
        <w:t>45</w:t>
      </w:r>
      <w:r>
        <w:fldChar w:fldCharType="end"/>
      </w:r>
      <w:r>
        <w:t xml:space="preserve">]. Αυτό φαίνεται στη μελέτη περίπτωσης που εξετάστηκε στην Ενότητα 3.5, στην οποία το πλοίο αναφοράς χωρίς ιστία δεν μπορούσε να ικανοποιήσει τη </w:t>
      </w:r>
      <w:r w:rsidR="002E3C0A">
        <w:t>3</w:t>
      </w:r>
      <w:r w:rsidR="00FE59FE" w:rsidRPr="00FE59FE">
        <w:rPr>
          <w:vertAlign w:val="superscript"/>
        </w:rPr>
        <w:t>η</w:t>
      </w:r>
      <w:r w:rsidR="00FE59FE">
        <w:t xml:space="preserve"> </w:t>
      </w:r>
      <w:r w:rsidR="002E3C0A">
        <w:t xml:space="preserve"> Φάση</w:t>
      </w:r>
      <w:r>
        <w:t xml:space="preserve"> του EEDI, ενώ οι σχεδιασμοί με ιστία μπορούσαν [</w:t>
      </w:r>
      <w:r>
        <w:fldChar w:fldCharType="begin"/>
      </w:r>
      <w:r>
        <w:instrText xml:space="preserve"> REF _Ref_cit_45 \h \* MERGEFORMAT </w:instrText>
      </w:r>
      <w:r>
        <w:fldChar w:fldCharType="separate"/>
      </w:r>
      <w:r w:rsidR="00B0043E" w:rsidRPr="00B0043E">
        <w:t>45</w:t>
      </w:r>
      <w:r>
        <w:fldChar w:fldCharType="end"/>
      </w:r>
      <w:r>
        <w:t>].</w:t>
      </w:r>
    </w:p>
    <w:p w14:paraId="2C850FC8" w14:textId="77777777" w:rsidR="00DE3C3C" w:rsidRDefault="003C7DFB">
      <w:pPr>
        <w:pStyle w:val="30"/>
      </w:pPr>
      <w:bookmarkStart w:id="155" w:name="_Toc243355325"/>
      <w:r>
        <w:t>Δείκτης Έντασης Άνθρακα</w:t>
      </w:r>
      <w:bookmarkEnd w:id="155"/>
    </w:p>
    <w:p w14:paraId="07BB45A6" w14:textId="49897482" w:rsidR="00DE3C3C" w:rsidRDefault="003C7DFB">
      <w:pPr>
        <w:spacing w:line="360" w:lineRule="auto"/>
        <w:ind w:firstLine="576"/>
        <w:jc w:val="both"/>
      </w:pPr>
      <w:r>
        <w:t>Ο Δείκτης Έντασης Άνθρακα (CII) είναι ένα επιχειρησιακό μέτρο που συσχετίζει τις ετήσιες εκπομπές CO₂ με το μεταφορικό έργο και εφαρμόζεται σε φορτηγά πλοία, επιβατηγά-οχηματαγωγά (</w:t>
      </w:r>
      <w:proofErr w:type="spellStart"/>
      <w:r>
        <w:t>ro-pax</w:t>
      </w:r>
      <w:proofErr w:type="spellEnd"/>
      <w:r>
        <w:t>) και κρουαζιερόπλοια 5</w:t>
      </w:r>
      <w:r w:rsidR="005A195F">
        <w:t>.</w:t>
      </w:r>
      <w:r>
        <w:t>000 GT και άνω [</w:t>
      </w:r>
      <w:r>
        <w:fldChar w:fldCharType="begin"/>
      </w:r>
      <w:r>
        <w:instrText xml:space="preserve"> REF _Ref_cit_13 \h \* MERGEFORMAT </w:instrText>
      </w:r>
      <w:r>
        <w:fldChar w:fldCharType="separate"/>
      </w:r>
      <w:r w:rsidR="00B0043E" w:rsidRPr="00B0043E">
        <w:t>13</w:t>
      </w:r>
      <w:r>
        <w:fldChar w:fldCharType="end"/>
      </w:r>
      <w:r>
        <w:t>]. Κάθε πλοίο λαμβάνει ετήσια βαθμολογία από A (ανώτερη) έως E (κατώτερη), η οποία προκύπτει από τη σύγκριση του επιτευχθέντος CII με μια απαιτούμενη τιμή που μειώνεται κάθε χρόνο σε σχέση με τη γραμμή αναφοράς του 2019. Ένα πλοίο που βαθμολογείται με D για τρία συνεχόμενα έτη ή με E για ένα έτος πρέπει να υποβάλει σχέδιο διορθωτικών ενεργειών [</w:t>
      </w:r>
      <w:r>
        <w:fldChar w:fldCharType="begin"/>
      </w:r>
      <w:r>
        <w:instrText xml:space="preserve"> REF _Ref_cit_13 \h \* MERGEFORMAT </w:instrText>
      </w:r>
      <w:r>
        <w:fldChar w:fldCharType="separate"/>
      </w:r>
      <w:r w:rsidR="00B0043E" w:rsidRPr="00B0043E">
        <w:t>13</w:t>
      </w:r>
      <w:r>
        <w:fldChar w:fldCharType="end"/>
      </w:r>
      <w:r>
        <w:t>]. Οι ετήσιοι συντελεστές μείωσης που ορίστηκαν με το ψήφισμα MEPC.338(76) για τα έτη 2023 έως 2026 επεκτάθηκαν έως το 2030 με το ψήφισμα MEPC.400(83), που υιοθετήθηκε στη MEPC 83 [</w:t>
      </w:r>
      <w:r>
        <w:fldChar w:fldCharType="begin"/>
      </w:r>
      <w:r>
        <w:instrText xml:space="preserve"> REF _Ref_cit_13 \h \* MERGEFORMAT </w:instrText>
      </w:r>
      <w:r>
        <w:fldChar w:fldCharType="separate"/>
      </w:r>
      <w:r w:rsidR="00B0043E" w:rsidRPr="00B0043E">
        <w:t>13</w:t>
      </w:r>
      <w:r>
        <w:fldChar w:fldCharType="end"/>
      </w:r>
      <w:r>
        <w:t>], [</w:t>
      </w:r>
      <w:r>
        <w:fldChar w:fldCharType="begin"/>
      </w:r>
      <w:r>
        <w:instrText xml:space="preserve"> REF _Ref_cit_53 \h \* MERGEFORMAT </w:instrText>
      </w:r>
      <w:r>
        <w:fldChar w:fldCharType="separate"/>
      </w:r>
      <w:r w:rsidR="00B0043E" w:rsidRPr="00B0043E">
        <w:t>53</w:t>
      </w:r>
      <w:r>
        <w:fldChar w:fldCharType="end"/>
      </w:r>
      <w:r>
        <w:t>], [</w:t>
      </w:r>
      <w:r>
        <w:fldChar w:fldCharType="begin"/>
      </w:r>
      <w:r>
        <w:instrText xml:space="preserve"> REF _Ref_cit_54 \h \* MERGEFORMAT </w:instrText>
      </w:r>
      <w:r>
        <w:fldChar w:fldCharType="separate"/>
      </w:r>
      <w:r w:rsidR="00B0043E" w:rsidRPr="00B0043E">
        <w:t>54</w:t>
      </w:r>
      <w:r>
        <w:fldChar w:fldCharType="end"/>
      </w:r>
      <w:r>
        <w:t xml:space="preserve">], και παρατίθενται στον </w:t>
      </w:r>
      <w:r w:rsidRPr="00DF44D6">
        <w:rPr>
          <w:b/>
          <w:bCs/>
        </w:rPr>
        <w:t>Πίνακα 6</w:t>
      </w:r>
      <w:r>
        <w:t>. Ο CII δεν συνεπάγεται άμεση χρηματική κύρωση στο πλαίσιο της MARPOL, όμως η βαθμολογία χρησιμοποιείται όλο και περισσότερο σε ναυλοσύμφωνα, σε όρους χρηματοδότησης και σε λιμενικά κίνητρα, και επομένως έχει συνέπειες. Επειδή ο CII βασίζεται στην κατανάλωση καυσίμου ανά μονάδα μεταφορικού έργου, η αιολική ώση ενός WAPS μειώνει άμεσα τον επιτευχθέντα CII, ενώ η αυξανόμενη αυστηρότητα της απαιτούμενης τιμής σημαίνει ότι ένα πλοίο που χωρίς παρέμβαση θα παρέμενε στη βαθμίδα C θα μετακινηθεί προς τις βαθμίδες D και E, εκτός εάν βελτιωθεί η απόδοσή του.</w:t>
      </w:r>
    </w:p>
    <w:p w14:paraId="366BAA8D" w14:textId="5DAA014D" w:rsidR="00DE3C3C" w:rsidRDefault="003C7DFB">
      <w:pPr>
        <w:pStyle w:val="af2"/>
        <w:keepNext/>
        <w:jc w:val="center"/>
        <w:rPr>
          <w:b/>
          <w:bCs/>
          <w:noProof/>
        </w:rPr>
      </w:pPr>
      <w:r>
        <w:rPr>
          <w:b/>
          <w:bCs/>
        </w:rPr>
        <w:t xml:space="preserve">Πίνακας </w:t>
      </w:r>
      <w:r>
        <w:rPr>
          <w:b/>
          <w:bCs/>
        </w:rPr>
        <w:fldChar w:fldCharType="begin"/>
      </w:r>
      <w:r>
        <w:rPr>
          <w:b/>
          <w:bCs/>
        </w:rPr>
        <w:instrText xml:space="preserve"> SEQ Table \* ARABIC </w:instrText>
      </w:r>
      <w:r>
        <w:rPr>
          <w:b/>
          <w:bCs/>
        </w:rPr>
        <w:fldChar w:fldCharType="separate"/>
      </w:r>
      <w:r w:rsidR="00B0043E">
        <w:rPr>
          <w:b/>
          <w:bCs/>
          <w:noProof/>
        </w:rPr>
        <w:t>6</w:t>
      </w:r>
      <w:r>
        <w:rPr>
          <w:b/>
          <w:bCs/>
        </w:rPr>
        <w:fldChar w:fldCharType="end"/>
      </w:r>
      <w:r>
        <w:rPr>
          <w:b/>
          <w:bCs/>
        </w:rPr>
        <w:t>: Συντελεστές μείωσης του CII σε σχέση με τη γραμμή αναφοράς του 2019.</w:t>
      </w:r>
    </w:p>
    <w:tbl>
      <w:tblPr>
        <w:tblW w:w="8640"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1300"/>
        <w:gridCol w:w="917"/>
        <w:gridCol w:w="917"/>
        <w:gridCol w:w="917"/>
        <w:gridCol w:w="917"/>
        <w:gridCol w:w="917"/>
        <w:gridCol w:w="917"/>
        <w:gridCol w:w="917"/>
        <w:gridCol w:w="921"/>
      </w:tblGrid>
      <w:tr w:rsidR="00DE3C3C" w14:paraId="63ABE83B" w14:textId="77777777">
        <w:trPr>
          <w:cantSplit/>
          <w:tblHeader/>
          <w:jc w:val="center"/>
        </w:trPr>
        <w:tc>
          <w:tcPr>
            <w:tcW w:w="1300" w:type="dxa"/>
            <w:shd w:val="clear" w:color="auto" w:fill="D9D9D9"/>
            <w:tcMar>
              <w:top w:w="60" w:type="dxa"/>
              <w:left w:w="100" w:type="dxa"/>
              <w:bottom w:w="60" w:type="dxa"/>
              <w:right w:w="100" w:type="dxa"/>
            </w:tcMar>
            <w:vAlign w:val="center"/>
          </w:tcPr>
          <w:p w14:paraId="5B7AB45E" w14:textId="77777777" w:rsidR="00DE3C3C" w:rsidRDefault="003C7DFB" w:rsidP="00535231">
            <w:pPr>
              <w:spacing w:after="0" w:line="240" w:lineRule="auto"/>
              <w:jc w:val="center"/>
              <w:rPr>
                <w:sz w:val="18"/>
                <w:szCs w:val="18"/>
              </w:rPr>
            </w:pPr>
            <w:r>
              <w:rPr>
                <w:b/>
                <w:bCs/>
                <w:sz w:val="18"/>
                <w:szCs w:val="18"/>
              </w:rPr>
              <w:t>Έτος</w:t>
            </w:r>
          </w:p>
        </w:tc>
        <w:tc>
          <w:tcPr>
            <w:tcW w:w="917" w:type="dxa"/>
            <w:shd w:val="clear" w:color="auto" w:fill="D9D9D9"/>
            <w:tcMar>
              <w:top w:w="60" w:type="dxa"/>
              <w:left w:w="100" w:type="dxa"/>
              <w:bottom w:w="60" w:type="dxa"/>
              <w:right w:w="100" w:type="dxa"/>
            </w:tcMar>
            <w:vAlign w:val="center"/>
          </w:tcPr>
          <w:p w14:paraId="0D666F7D" w14:textId="77777777" w:rsidR="00DE3C3C" w:rsidRDefault="003C7DFB" w:rsidP="00535231">
            <w:pPr>
              <w:spacing w:after="0" w:line="240" w:lineRule="auto"/>
              <w:jc w:val="center"/>
              <w:rPr>
                <w:sz w:val="18"/>
                <w:szCs w:val="18"/>
              </w:rPr>
            </w:pPr>
            <w:r>
              <w:rPr>
                <w:b/>
                <w:bCs/>
                <w:sz w:val="18"/>
                <w:szCs w:val="18"/>
              </w:rPr>
              <w:t>2023</w:t>
            </w:r>
          </w:p>
        </w:tc>
        <w:tc>
          <w:tcPr>
            <w:tcW w:w="917" w:type="dxa"/>
            <w:shd w:val="clear" w:color="auto" w:fill="D9D9D9"/>
            <w:tcMar>
              <w:top w:w="60" w:type="dxa"/>
              <w:left w:w="100" w:type="dxa"/>
              <w:bottom w:w="60" w:type="dxa"/>
              <w:right w:w="100" w:type="dxa"/>
            </w:tcMar>
            <w:vAlign w:val="center"/>
          </w:tcPr>
          <w:p w14:paraId="2DCFD31F" w14:textId="77777777" w:rsidR="00DE3C3C" w:rsidRDefault="003C7DFB" w:rsidP="00535231">
            <w:pPr>
              <w:spacing w:after="0" w:line="240" w:lineRule="auto"/>
              <w:jc w:val="center"/>
              <w:rPr>
                <w:sz w:val="18"/>
                <w:szCs w:val="18"/>
              </w:rPr>
            </w:pPr>
            <w:r>
              <w:rPr>
                <w:b/>
                <w:bCs/>
                <w:sz w:val="18"/>
                <w:szCs w:val="18"/>
              </w:rPr>
              <w:t>2024</w:t>
            </w:r>
          </w:p>
        </w:tc>
        <w:tc>
          <w:tcPr>
            <w:tcW w:w="917" w:type="dxa"/>
            <w:shd w:val="clear" w:color="auto" w:fill="D9D9D9"/>
            <w:tcMar>
              <w:top w:w="60" w:type="dxa"/>
              <w:left w:w="100" w:type="dxa"/>
              <w:bottom w:w="60" w:type="dxa"/>
              <w:right w:w="100" w:type="dxa"/>
            </w:tcMar>
            <w:vAlign w:val="center"/>
          </w:tcPr>
          <w:p w14:paraId="18E31565" w14:textId="77777777" w:rsidR="00DE3C3C" w:rsidRDefault="003C7DFB" w:rsidP="00535231">
            <w:pPr>
              <w:spacing w:after="0" w:line="240" w:lineRule="auto"/>
              <w:jc w:val="center"/>
              <w:rPr>
                <w:sz w:val="18"/>
                <w:szCs w:val="18"/>
              </w:rPr>
            </w:pPr>
            <w:r>
              <w:rPr>
                <w:b/>
                <w:bCs/>
                <w:sz w:val="18"/>
                <w:szCs w:val="18"/>
              </w:rPr>
              <w:t>2025</w:t>
            </w:r>
          </w:p>
        </w:tc>
        <w:tc>
          <w:tcPr>
            <w:tcW w:w="917" w:type="dxa"/>
            <w:shd w:val="clear" w:color="auto" w:fill="D9D9D9"/>
            <w:tcMar>
              <w:top w:w="60" w:type="dxa"/>
              <w:left w:w="100" w:type="dxa"/>
              <w:bottom w:w="60" w:type="dxa"/>
              <w:right w:w="100" w:type="dxa"/>
            </w:tcMar>
            <w:vAlign w:val="center"/>
          </w:tcPr>
          <w:p w14:paraId="5AB881F5" w14:textId="77777777" w:rsidR="00DE3C3C" w:rsidRDefault="003C7DFB" w:rsidP="00535231">
            <w:pPr>
              <w:spacing w:after="0" w:line="240" w:lineRule="auto"/>
              <w:jc w:val="center"/>
              <w:rPr>
                <w:sz w:val="18"/>
                <w:szCs w:val="18"/>
              </w:rPr>
            </w:pPr>
            <w:r>
              <w:rPr>
                <w:b/>
                <w:bCs/>
                <w:sz w:val="18"/>
                <w:szCs w:val="18"/>
              </w:rPr>
              <w:t>2026</w:t>
            </w:r>
          </w:p>
        </w:tc>
        <w:tc>
          <w:tcPr>
            <w:tcW w:w="917" w:type="dxa"/>
            <w:shd w:val="clear" w:color="auto" w:fill="D9D9D9"/>
            <w:tcMar>
              <w:top w:w="60" w:type="dxa"/>
              <w:left w:w="100" w:type="dxa"/>
              <w:bottom w:w="60" w:type="dxa"/>
              <w:right w:w="100" w:type="dxa"/>
            </w:tcMar>
            <w:vAlign w:val="center"/>
          </w:tcPr>
          <w:p w14:paraId="735E6BAB" w14:textId="77777777" w:rsidR="00DE3C3C" w:rsidRDefault="003C7DFB" w:rsidP="00535231">
            <w:pPr>
              <w:spacing w:after="0" w:line="240" w:lineRule="auto"/>
              <w:jc w:val="center"/>
              <w:rPr>
                <w:sz w:val="18"/>
                <w:szCs w:val="18"/>
              </w:rPr>
            </w:pPr>
            <w:r>
              <w:rPr>
                <w:b/>
                <w:bCs/>
                <w:sz w:val="18"/>
                <w:szCs w:val="18"/>
              </w:rPr>
              <w:t>2027</w:t>
            </w:r>
          </w:p>
        </w:tc>
        <w:tc>
          <w:tcPr>
            <w:tcW w:w="917" w:type="dxa"/>
            <w:shd w:val="clear" w:color="auto" w:fill="D9D9D9"/>
            <w:tcMar>
              <w:top w:w="60" w:type="dxa"/>
              <w:left w:w="100" w:type="dxa"/>
              <w:bottom w:w="60" w:type="dxa"/>
              <w:right w:w="100" w:type="dxa"/>
            </w:tcMar>
            <w:vAlign w:val="center"/>
          </w:tcPr>
          <w:p w14:paraId="08556CE5" w14:textId="77777777" w:rsidR="00DE3C3C" w:rsidRDefault="003C7DFB" w:rsidP="00535231">
            <w:pPr>
              <w:spacing w:after="0" w:line="240" w:lineRule="auto"/>
              <w:jc w:val="center"/>
              <w:rPr>
                <w:sz w:val="18"/>
                <w:szCs w:val="18"/>
              </w:rPr>
            </w:pPr>
            <w:r>
              <w:rPr>
                <w:b/>
                <w:bCs/>
                <w:sz w:val="18"/>
                <w:szCs w:val="18"/>
              </w:rPr>
              <w:t>2028</w:t>
            </w:r>
          </w:p>
        </w:tc>
        <w:tc>
          <w:tcPr>
            <w:tcW w:w="917" w:type="dxa"/>
            <w:shd w:val="clear" w:color="auto" w:fill="D9D9D9"/>
            <w:tcMar>
              <w:top w:w="60" w:type="dxa"/>
              <w:left w:w="100" w:type="dxa"/>
              <w:bottom w:w="60" w:type="dxa"/>
              <w:right w:w="100" w:type="dxa"/>
            </w:tcMar>
            <w:vAlign w:val="center"/>
          </w:tcPr>
          <w:p w14:paraId="503F44B6" w14:textId="77777777" w:rsidR="00DE3C3C" w:rsidRDefault="003C7DFB" w:rsidP="00535231">
            <w:pPr>
              <w:spacing w:after="0" w:line="240" w:lineRule="auto"/>
              <w:jc w:val="center"/>
              <w:rPr>
                <w:sz w:val="18"/>
                <w:szCs w:val="18"/>
              </w:rPr>
            </w:pPr>
            <w:r>
              <w:rPr>
                <w:b/>
                <w:bCs/>
                <w:sz w:val="18"/>
                <w:szCs w:val="18"/>
              </w:rPr>
              <w:t>2029</w:t>
            </w:r>
          </w:p>
        </w:tc>
        <w:tc>
          <w:tcPr>
            <w:tcW w:w="921" w:type="dxa"/>
            <w:shd w:val="clear" w:color="auto" w:fill="D9D9D9"/>
            <w:tcMar>
              <w:top w:w="60" w:type="dxa"/>
              <w:left w:w="100" w:type="dxa"/>
              <w:bottom w:w="60" w:type="dxa"/>
              <w:right w:w="100" w:type="dxa"/>
            </w:tcMar>
            <w:vAlign w:val="center"/>
          </w:tcPr>
          <w:p w14:paraId="263BEAD0" w14:textId="77777777" w:rsidR="00DE3C3C" w:rsidRDefault="003C7DFB" w:rsidP="00535231">
            <w:pPr>
              <w:spacing w:after="0" w:line="240" w:lineRule="auto"/>
              <w:jc w:val="center"/>
              <w:rPr>
                <w:sz w:val="18"/>
                <w:szCs w:val="18"/>
              </w:rPr>
            </w:pPr>
            <w:r>
              <w:rPr>
                <w:b/>
                <w:bCs/>
                <w:sz w:val="18"/>
                <w:szCs w:val="18"/>
              </w:rPr>
              <w:t>2030</w:t>
            </w:r>
          </w:p>
        </w:tc>
      </w:tr>
      <w:tr w:rsidR="00DE3C3C" w14:paraId="1A6172F7" w14:textId="77777777">
        <w:trPr>
          <w:cantSplit/>
          <w:jc w:val="center"/>
        </w:trPr>
        <w:tc>
          <w:tcPr>
            <w:tcW w:w="1300" w:type="dxa"/>
            <w:tcMar>
              <w:top w:w="60" w:type="dxa"/>
              <w:left w:w="100" w:type="dxa"/>
              <w:bottom w:w="60" w:type="dxa"/>
              <w:right w:w="100" w:type="dxa"/>
            </w:tcMar>
            <w:vAlign w:val="center"/>
          </w:tcPr>
          <w:p w14:paraId="54F901E3" w14:textId="77777777" w:rsidR="00DE3C3C" w:rsidRDefault="003C7DFB" w:rsidP="00535231">
            <w:pPr>
              <w:spacing w:after="0" w:line="240" w:lineRule="auto"/>
              <w:jc w:val="center"/>
              <w:rPr>
                <w:sz w:val="18"/>
                <w:szCs w:val="18"/>
              </w:rPr>
            </w:pPr>
            <w:r>
              <w:rPr>
                <w:sz w:val="18"/>
                <w:szCs w:val="18"/>
              </w:rPr>
              <w:t>Μείωση (%)</w:t>
            </w:r>
          </w:p>
        </w:tc>
        <w:tc>
          <w:tcPr>
            <w:tcW w:w="917" w:type="dxa"/>
            <w:tcMar>
              <w:top w:w="60" w:type="dxa"/>
              <w:left w:w="100" w:type="dxa"/>
              <w:bottom w:w="60" w:type="dxa"/>
              <w:right w:w="100" w:type="dxa"/>
            </w:tcMar>
            <w:vAlign w:val="center"/>
          </w:tcPr>
          <w:p w14:paraId="6FCA553A" w14:textId="77777777" w:rsidR="00DE3C3C" w:rsidRDefault="003C7DFB" w:rsidP="00535231">
            <w:pPr>
              <w:spacing w:after="0" w:line="240" w:lineRule="auto"/>
              <w:jc w:val="center"/>
              <w:rPr>
                <w:sz w:val="18"/>
                <w:szCs w:val="18"/>
              </w:rPr>
            </w:pPr>
            <w:r>
              <w:rPr>
                <w:sz w:val="18"/>
                <w:szCs w:val="18"/>
              </w:rPr>
              <w:t>5</w:t>
            </w:r>
          </w:p>
        </w:tc>
        <w:tc>
          <w:tcPr>
            <w:tcW w:w="917" w:type="dxa"/>
            <w:tcMar>
              <w:top w:w="60" w:type="dxa"/>
              <w:left w:w="100" w:type="dxa"/>
              <w:bottom w:w="60" w:type="dxa"/>
              <w:right w:w="100" w:type="dxa"/>
            </w:tcMar>
            <w:vAlign w:val="center"/>
          </w:tcPr>
          <w:p w14:paraId="40348443" w14:textId="77777777" w:rsidR="00DE3C3C" w:rsidRDefault="003C7DFB" w:rsidP="00535231">
            <w:pPr>
              <w:spacing w:after="0" w:line="240" w:lineRule="auto"/>
              <w:jc w:val="center"/>
              <w:rPr>
                <w:sz w:val="18"/>
                <w:szCs w:val="18"/>
              </w:rPr>
            </w:pPr>
            <w:r>
              <w:rPr>
                <w:sz w:val="18"/>
                <w:szCs w:val="18"/>
              </w:rPr>
              <w:t>7</w:t>
            </w:r>
          </w:p>
        </w:tc>
        <w:tc>
          <w:tcPr>
            <w:tcW w:w="917" w:type="dxa"/>
            <w:tcMar>
              <w:top w:w="60" w:type="dxa"/>
              <w:left w:w="100" w:type="dxa"/>
              <w:bottom w:w="60" w:type="dxa"/>
              <w:right w:w="100" w:type="dxa"/>
            </w:tcMar>
            <w:vAlign w:val="center"/>
          </w:tcPr>
          <w:p w14:paraId="39C2D149" w14:textId="77777777" w:rsidR="00DE3C3C" w:rsidRDefault="003C7DFB" w:rsidP="00535231">
            <w:pPr>
              <w:spacing w:after="0" w:line="240" w:lineRule="auto"/>
              <w:jc w:val="center"/>
              <w:rPr>
                <w:sz w:val="18"/>
                <w:szCs w:val="18"/>
              </w:rPr>
            </w:pPr>
            <w:r>
              <w:rPr>
                <w:sz w:val="18"/>
                <w:szCs w:val="18"/>
              </w:rPr>
              <w:t>9</w:t>
            </w:r>
          </w:p>
        </w:tc>
        <w:tc>
          <w:tcPr>
            <w:tcW w:w="917" w:type="dxa"/>
            <w:tcMar>
              <w:top w:w="60" w:type="dxa"/>
              <w:left w:w="100" w:type="dxa"/>
              <w:bottom w:w="60" w:type="dxa"/>
              <w:right w:w="100" w:type="dxa"/>
            </w:tcMar>
            <w:vAlign w:val="center"/>
          </w:tcPr>
          <w:p w14:paraId="01E3BA49" w14:textId="77777777" w:rsidR="00DE3C3C" w:rsidRDefault="003C7DFB" w:rsidP="00535231">
            <w:pPr>
              <w:spacing w:after="0" w:line="240" w:lineRule="auto"/>
              <w:jc w:val="center"/>
              <w:rPr>
                <w:sz w:val="18"/>
                <w:szCs w:val="18"/>
              </w:rPr>
            </w:pPr>
            <w:r>
              <w:rPr>
                <w:sz w:val="18"/>
                <w:szCs w:val="18"/>
              </w:rPr>
              <w:t>11</w:t>
            </w:r>
          </w:p>
        </w:tc>
        <w:tc>
          <w:tcPr>
            <w:tcW w:w="917" w:type="dxa"/>
            <w:tcMar>
              <w:top w:w="60" w:type="dxa"/>
              <w:left w:w="100" w:type="dxa"/>
              <w:bottom w:w="60" w:type="dxa"/>
              <w:right w:w="100" w:type="dxa"/>
            </w:tcMar>
            <w:vAlign w:val="center"/>
          </w:tcPr>
          <w:p w14:paraId="186E310E" w14:textId="344499B0" w:rsidR="00DE3C3C" w:rsidRDefault="003C7DFB" w:rsidP="00535231">
            <w:pPr>
              <w:spacing w:after="0" w:line="240" w:lineRule="auto"/>
              <w:jc w:val="center"/>
              <w:rPr>
                <w:sz w:val="18"/>
                <w:szCs w:val="18"/>
              </w:rPr>
            </w:pPr>
            <w:r>
              <w:rPr>
                <w:sz w:val="18"/>
                <w:szCs w:val="18"/>
              </w:rPr>
              <w:t>13</w:t>
            </w:r>
            <w:r w:rsidR="002602C9">
              <w:rPr>
                <w:sz w:val="18"/>
                <w:szCs w:val="18"/>
              </w:rPr>
              <w:t>,</w:t>
            </w:r>
            <w:r>
              <w:rPr>
                <w:sz w:val="18"/>
                <w:szCs w:val="18"/>
              </w:rPr>
              <w:t>625</w:t>
            </w:r>
          </w:p>
        </w:tc>
        <w:tc>
          <w:tcPr>
            <w:tcW w:w="917" w:type="dxa"/>
            <w:tcMar>
              <w:top w:w="60" w:type="dxa"/>
              <w:left w:w="100" w:type="dxa"/>
              <w:bottom w:w="60" w:type="dxa"/>
              <w:right w:w="100" w:type="dxa"/>
            </w:tcMar>
            <w:vAlign w:val="center"/>
          </w:tcPr>
          <w:p w14:paraId="565C91D8" w14:textId="2049FE9F" w:rsidR="00DE3C3C" w:rsidRDefault="003C7DFB" w:rsidP="00535231">
            <w:pPr>
              <w:spacing w:after="0" w:line="240" w:lineRule="auto"/>
              <w:jc w:val="center"/>
              <w:rPr>
                <w:sz w:val="18"/>
                <w:szCs w:val="18"/>
              </w:rPr>
            </w:pPr>
            <w:r>
              <w:rPr>
                <w:sz w:val="18"/>
                <w:szCs w:val="18"/>
              </w:rPr>
              <w:t>16</w:t>
            </w:r>
            <w:r w:rsidR="002602C9">
              <w:rPr>
                <w:sz w:val="18"/>
                <w:szCs w:val="18"/>
              </w:rPr>
              <w:t>,</w:t>
            </w:r>
            <w:r>
              <w:rPr>
                <w:sz w:val="18"/>
                <w:szCs w:val="18"/>
              </w:rPr>
              <w:t>25</w:t>
            </w:r>
          </w:p>
        </w:tc>
        <w:tc>
          <w:tcPr>
            <w:tcW w:w="917" w:type="dxa"/>
            <w:tcMar>
              <w:top w:w="60" w:type="dxa"/>
              <w:left w:w="100" w:type="dxa"/>
              <w:bottom w:w="60" w:type="dxa"/>
              <w:right w:w="100" w:type="dxa"/>
            </w:tcMar>
            <w:vAlign w:val="center"/>
          </w:tcPr>
          <w:p w14:paraId="3853FF4F" w14:textId="64EE762F" w:rsidR="00DE3C3C" w:rsidRDefault="003C7DFB" w:rsidP="00535231">
            <w:pPr>
              <w:spacing w:after="0" w:line="240" w:lineRule="auto"/>
              <w:jc w:val="center"/>
              <w:rPr>
                <w:sz w:val="18"/>
                <w:szCs w:val="18"/>
              </w:rPr>
            </w:pPr>
            <w:r>
              <w:rPr>
                <w:sz w:val="18"/>
                <w:szCs w:val="18"/>
              </w:rPr>
              <w:t>18</w:t>
            </w:r>
            <w:r w:rsidR="002602C9">
              <w:rPr>
                <w:sz w:val="18"/>
                <w:szCs w:val="18"/>
              </w:rPr>
              <w:t>,</w:t>
            </w:r>
            <w:r>
              <w:rPr>
                <w:sz w:val="18"/>
                <w:szCs w:val="18"/>
              </w:rPr>
              <w:t>875</w:t>
            </w:r>
          </w:p>
        </w:tc>
        <w:tc>
          <w:tcPr>
            <w:tcW w:w="921" w:type="dxa"/>
            <w:tcMar>
              <w:top w:w="60" w:type="dxa"/>
              <w:left w:w="100" w:type="dxa"/>
              <w:bottom w:w="60" w:type="dxa"/>
              <w:right w:w="100" w:type="dxa"/>
            </w:tcMar>
            <w:vAlign w:val="center"/>
          </w:tcPr>
          <w:p w14:paraId="09764C80" w14:textId="40FE1E9A" w:rsidR="00DE3C3C" w:rsidRDefault="003C7DFB" w:rsidP="00535231">
            <w:pPr>
              <w:spacing w:after="0" w:line="240" w:lineRule="auto"/>
              <w:jc w:val="center"/>
              <w:rPr>
                <w:sz w:val="18"/>
                <w:szCs w:val="18"/>
              </w:rPr>
            </w:pPr>
            <w:r>
              <w:rPr>
                <w:sz w:val="18"/>
                <w:szCs w:val="18"/>
              </w:rPr>
              <w:t>21</w:t>
            </w:r>
            <w:r w:rsidR="002602C9">
              <w:rPr>
                <w:sz w:val="18"/>
                <w:szCs w:val="18"/>
              </w:rPr>
              <w:t>,</w:t>
            </w:r>
            <w:r>
              <w:rPr>
                <w:sz w:val="18"/>
                <w:szCs w:val="18"/>
              </w:rPr>
              <w:t>5</w:t>
            </w:r>
          </w:p>
        </w:tc>
      </w:tr>
    </w:tbl>
    <w:p w14:paraId="27842481" w14:textId="41F9EBB1" w:rsidR="00DE3C3C" w:rsidRDefault="003C7DFB">
      <w:pPr>
        <w:spacing w:before="60" w:after="200" w:line="240" w:lineRule="auto"/>
        <w:jc w:val="both"/>
      </w:pPr>
      <w:r>
        <w:rPr>
          <w:i/>
          <w:iCs/>
          <w:sz w:val="18"/>
          <w:szCs w:val="18"/>
        </w:rPr>
        <w:lastRenderedPageBreak/>
        <w:t>Πηγή: MEPC.338(76) [</w:t>
      </w:r>
      <w:r>
        <w:rPr>
          <w:i/>
          <w:iCs/>
          <w:sz w:val="18"/>
          <w:szCs w:val="18"/>
        </w:rPr>
        <w:fldChar w:fldCharType="begin"/>
      </w:r>
      <w:r>
        <w:rPr>
          <w:i/>
          <w:iCs/>
          <w:sz w:val="18"/>
          <w:szCs w:val="18"/>
        </w:rPr>
        <w:instrText xml:space="preserve"> REF _Ref_cit_53 \h \* MERGEFORMAT </w:instrText>
      </w:r>
      <w:r>
        <w:rPr>
          <w:i/>
          <w:iCs/>
          <w:sz w:val="18"/>
          <w:szCs w:val="18"/>
        </w:rPr>
      </w:r>
      <w:r>
        <w:rPr>
          <w:i/>
          <w:iCs/>
          <w:sz w:val="18"/>
          <w:szCs w:val="18"/>
        </w:rPr>
        <w:fldChar w:fldCharType="separate"/>
      </w:r>
      <w:r w:rsidR="00B0043E" w:rsidRPr="00B0043E">
        <w:rPr>
          <w:i/>
          <w:iCs/>
          <w:sz w:val="18"/>
          <w:szCs w:val="18"/>
        </w:rPr>
        <w:t>53</w:t>
      </w:r>
      <w:r>
        <w:rPr>
          <w:i/>
          <w:iCs/>
          <w:sz w:val="18"/>
          <w:szCs w:val="18"/>
        </w:rPr>
        <w:fldChar w:fldCharType="end"/>
      </w:r>
      <w:r>
        <w:rPr>
          <w:i/>
          <w:iCs/>
          <w:sz w:val="18"/>
          <w:szCs w:val="18"/>
        </w:rPr>
        <w:t>] και MEPC.400(83) [</w:t>
      </w:r>
      <w:r>
        <w:rPr>
          <w:i/>
          <w:iCs/>
          <w:sz w:val="18"/>
          <w:szCs w:val="18"/>
        </w:rPr>
        <w:fldChar w:fldCharType="begin"/>
      </w:r>
      <w:r>
        <w:rPr>
          <w:i/>
          <w:iCs/>
          <w:sz w:val="18"/>
          <w:szCs w:val="18"/>
        </w:rPr>
        <w:instrText xml:space="preserve"> REF _Ref_cit_54 \h \* MERGEFORMAT </w:instrText>
      </w:r>
      <w:r>
        <w:rPr>
          <w:i/>
          <w:iCs/>
          <w:sz w:val="18"/>
          <w:szCs w:val="18"/>
        </w:rPr>
      </w:r>
      <w:r>
        <w:rPr>
          <w:i/>
          <w:iCs/>
          <w:sz w:val="18"/>
          <w:szCs w:val="18"/>
        </w:rPr>
        <w:fldChar w:fldCharType="separate"/>
      </w:r>
      <w:r w:rsidR="00B0043E" w:rsidRPr="00B0043E">
        <w:rPr>
          <w:i/>
          <w:iCs/>
          <w:sz w:val="18"/>
          <w:szCs w:val="18"/>
        </w:rPr>
        <w:t>54</w:t>
      </w:r>
      <w:r>
        <w:rPr>
          <w:i/>
          <w:iCs/>
          <w:sz w:val="18"/>
          <w:szCs w:val="18"/>
        </w:rPr>
        <w:fldChar w:fldCharType="end"/>
      </w:r>
      <w:r>
        <w:rPr>
          <w:i/>
          <w:iCs/>
          <w:sz w:val="18"/>
          <w:szCs w:val="18"/>
        </w:rPr>
        <w:t>], όπως συνοψίζονται στην [</w:t>
      </w:r>
      <w:r>
        <w:rPr>
          <w:i/>
          <w:iCs/>
          <w:sz w:val="18"/>
          <w:szCs w:val="18"/>
        </w:rPr>
        <w:fldChar w:fldCharType="begin"/>
      </w:r>
      <w:r>
        <w:rPr>
          <w:i/>
          <w:iCs/>
          <w:sz w:val="18"/>
          <w:szCs w:val="18"/>
        </w:rPr>
        <w:instrText xml:space="preserve"> REF _Ref_cit_13 \h \* MERGEFORMAT </w:instrText>
      </w:r>
      <w:r>
        <w:rPr>
          <w:i/>
          <w:iCs/>
          <w:sz w:val="18"/>
          <w:szCs w:val="18"/>
        </w:rPr>
      </w:r>
      <w:r>
        <w:rPr>
          <w:i/>
          <w:iCs/>
          <w:sz w:val="18"/>
          <w:szCs w:val="18"/>
        </w:rPr>
        <w:fldChar w:fldCharType="separate"/>
      </w:r>
      <w:r w:rsidR="00B0043E" w:rsidRPr="00B0043E">
        <w:rPr>
          <w:i/>
          <w:iCs/>
          <w:sz w:val="18"/>
          <w:szCs w:val="18"/>
        </w:rPr>
        <w:t>13</w:t>
      </w:r>
      <w:r>
        <w:rPr>
          <w:i/>
          <w:iCs/>
          <w:sz w:val="18"/>
          <w:szCs w:val="18"/>
        </w:rPr>
        <w:fldChar w:fldCharType="end"/>
      </w:r>
      <w:r>
        <w:rPr>
          <w:i/>
          <w:iCs/>
          <w:sz w:val="18"/>
          <w:szCs w:val="18"/>
        </w:rPr>
        <w:t>].</w:t>
      </w:r>
    </w:p>
    <w:p w14:paraId="13793A3D" w14:textId="6ECCFF02" w:rsidR="00DE3C3C" w:rsidRDefault="003C7DFB">
      <w:pPr>
        <w:spacing w:line="360" w:lineRule="auto"/>
        <w:ind w:firstLine="576"/>
        <w:jc w:val="both"/>
      </w:pPr>
      <w:r>
        <w:t>Το επιχειρησιακό πλαίσιο συμπληρώνεται από το Σχέδιο Διαχείρισης Ενεργειακής Απόδοσης Πλοίου (SEEMP), η δομή του οποίου αναθεωρήθηκε με τις Κατευθυντήριες Γραμμές SEEMP του 2022, ψήφισμα MEPC.346(78), οι οποίες αντικατέστησαν τις κατευθυντήριες γραμμές του 2016 [</w:t>
      </w:r>
      <w:r>
        <w:fldChar w:fldCharType="begin"/>
      </w:r>
      <w:r>
        <w:instrText xml:space="preserve"> REF _Ref_cit_14 \h \* MERGEFORMAT </w:instrText>
      </w:r>
      <w:r>
        <w:fldChar w:fldCharType="separate"/>
      </w:r>
      <w:r w:rsidR="00B0043E" w:rsidRPr="00B0043E">
        <w:t>14</w:t>
      </w:r>
      <w:r>
        <w:fldChar w:fldCharType="end"/>
      </w:r>
      <w:r>
        <w:t xml:space="preserve">]. Το σχέδιο αποτελείται πλέον από τρία μέρη. Το Μέρος I εφαρμόζεται σε πλοία 400 GT και άνω και ακολουθεί τον κύκλο σχεδιασμού, εφαρμογής, παρακολούθησης και </w:t>
      </w:r>
      <w:proofErr w:type="spellStart"/>
      <w:r>
        <w:t>αυτοαξιολόγησης</w:t>
      </w:r>
      <w:proofErr w:type="spellEnd"/>
      <w:r>
        <w:t>. Το Μέρος II εφαρμόζεται σε πλοία 5</w:t>
      </w:r>
      <w:r w:rsidR="00A0261A">
        <w:t>.</w:t>
      </w:r>
      <w:r>
        <w:t>000 GT και άνω και περιέχει το σχέδιο συλλογής δεδομένων κατανάλωσης καυσίμου του πλοίου. Το Μέρος III εφαρμόζεται σε πλοία 5</w:t>
      </w:r>
      <w:r w:rsidR="00A0261A">
        <w:t>.</w:t>
      </w:r>
      <w:r>
        <w:t xml:space="preserve">000 GT και άνω των κατηγοριών που υπάγονται στον CII και περιέχει τη μέθοδο υπολογισμού του επιτευχθέντος ετήσιου CII, τον απαιτούμενο CII για τα επόμενα τρία έτη, ένα σχέδιο εφαρμογής για την ίδια περίοδο, μια διαδικασία </w:t>
      </w:r>
      <w:proofErr w:type="spellStart"/>
      <w:r>
        <w:t>αυτοαξιολόγησης</w:t>
      </w:r>
      <w:proofErr w:type="spellEnd"/>
      <w:r>
        <w:t xml:space="preserve"> και βελτίωσης, καθώς και το σχέδιο διορθωτικών ενεργειών που απαιτείται για πλοία με βαθμολογία D για τρία συνεχόμενα έτη ή με βαθμολογία E [</w:t>
      </w:r>
      <w:r>
        <w:fldChar w:fldCharType="begin"/>
      </w:r>
      <w:r>
        <w:instrText xml:space="preserve"> REF _Ref_cit_14 \h \* MERGEFORMAT </w:instrText>
      </w:r>
      <w:r>
        <w:fldChar w:fldCharType="separate"/>
      </w:r>
      <w:r w:rsidR="00B0043E" w:rsidRPr="00B0043E">
        <w:t>14</w:t>
      </w:r>
      <w:r>
        <w:fldChar w:fldCharType="end"/>
      </w:r>
      <w:r>
        <w:t>], [</w:t>
      </w:r>
      <w:r>
        <w:fldChar w:fldCharType="begin"/>
      </w:r>
      <w:r>
        <w:instrText xml:space="preserve"> REF _Ref_cit_15 \h \* MERGEFORMAT </w:instrText>
      </w:r>
      <w:r>
        <w:fldChar w:fldCharType="separate"/>
      </w:r>
      <w:r w:rsidR="00B0043E" w:rsidRPr="00B0043E">
        <w:t>15</w:t>
      </w:r>
      <w:r>
        <w:fldChar w:fldCharType="end"/>
      </w:r>
      <w:r>
        <w:t>]. Από την 1η Ιανουαρίου 2023 απαιτείται επαληθευμένο SEEMP Μέρος III επί του πλοίου, ενώ τα πλοία που παραδόθηκαν πριν από την 1η Αυγούστου 2025 υποχρεούνται να αναθεωρήσουν το σχέδιο ώστε να καλύπτει την περίοδο 2026 έως 2028 [</w:t>
      </w:r>
      <w:r>
        <w:fldChar w:fldCharType="begin"/>
      </w:r>
      <w:r>
        <w:instrText xml:space="preserve"> REF _Ref_cit_15 \h \* MERGEFORMAT </w:instrText>
      </w:r>
      <w:r>
        <w:fldChar w:fldCharType="separate"/>
      </w:r>
      <w:r w:rsidR="00B0043E" w:rsidRPr="00B0043E">
        <w:t>15</w:t>
      </w:r>
      <w:r>
        <w:fldChar w:fldCharType="end"/>
      </w:r>
      <w:r>
        <w:t>].</w:t>
      </w:r>
    </w:p>
    <w:p w14:paraId="2CBBF3AE" w14:textId="15372225" w:rsidR="00DE3C3C" w:rsidRDefault="003C7DFB">
      <w:pPr>
        <w:spacing w:line="360" w:lineRule="auto"/>
        <w:ind w:firstLine="576"/>
        <w:jc w:val="both"/>
      </w:pPr>
      <w:r>
        <w:t>Οι Κατευθυντήριες Γραμμές απαριθμούν επίσης τα μέτρα που μπορεί να εξετάσει ένας πλοιοκτήτης όταν ένα πλοίο κινδυνεύει να λάβει χαμηλή βαθμολογία CII και αναφέρουν ρητά τον άνεμο: η παράγραφος 5.9.4</w:t>
      </w:r>
      <w:r w:rsidR="006E06F2">
        <w:t xml:space="preserve"> (</w:t>
      </w:r>
      <w:r w:rsidR="006E06F2" w:rsidRPr="006E06F2">
        <w:t>MEPC.346(78)</w:t>
      </w:r>
      <w:r w:rsidR="006E06F2">
        <w:t xml:space="preserve">) </w:t>
      </w:r>
      <w:r>
        <w:t xml:space="preserve">αναφέρει ότι ακόμη και η αιολική υποβοήθηση της πρόωσης μπορεί να αξίζει να εξεταστεί, ότι διάφορα συστήματα, όπως οι </w:t>
      </w:r>
      <w:proofErr w:type="spellStart"/>
      <w:r>
        <w:t>ρότορες</w:t>
      </w:r>
      <w:proofErr w:type="spellEnd"/>
      <w:r>
        <w:t xml:space="preserve"> </w:t>
      </w:r>
      <w:proofErr w:type="spellStart"/>
      <w:r>
        <w:t>Flettner</w:t>
      </w:r>
      <w:proofErr w:type="spellEnd"/>
      <w:r>
        <w:t xml:space="preserve">, τα </w:t>
      </w:r>
      <w:r w:rsidR="006E06F2">
        <w:t xml:space="preserve">άκαμπτα </w:t>
      </w:r>
      <w:r>
        <w:t xml:space="preserve">ιστία και </w:t>
      </w:r>
      <w:r w:rsidR="006E06F2">
        <w:t>τα ιστία</w:t>
      </w:r>
      <w:r>
        <w:t>-χαρταετοί, είναι διαθέσιμα για μετασκευή, και ότι τέτοιες διατάξεις ενδέχεται να μην είναι εφικτές ανάλογα με το είδος του εμπορίου και την περιοχή πλεύσης [</w:t>
      </w:r>
      <w:r>
        <w:fldChar w:fldCharType="begin"/>
      </w:r>
      <w:r>
        <w:instrText xml:space="preserve"> REF _Ref_cit_14 \h \* MERGEFORMAT </w:instrText>
      </w:r>
      <w:r>
        <w:fldChar w:fldCharType="separate"/>
      </w:r>
      <w:r w:rsidR="00B0043E" w:rsidRPr="00B0043E">
        <w:t>14</w:t>
      </w:r>
      <w:r>
        <w:fldChar w:fldCharType="end"/>
      </w:r>
      <w:r>
        <w:t xml:space="preserve">]. Δεν δίνεται καμία ποσοτική επίδραση, και τα WAPS αντιμετωπίζονται ως ένα μέτρο μεταξύ πολλών, τα οποία, όπως τονίζουν οι Κατευθυντήριες Γραμμές, δεν είναι κατ’ ανάγκη αθροιστικά. Επειδή το SEEMP Μέρος III καθιστά τον CII ρητό εργαλείο σχεδιασμού με ορίζοντα τριών ετών, μια μετασκευή WAPS μπορεί να αιτιολογηθεί ως μέρος του σχεδίου διορθωτικών ενεργειών ενός πλοίου του οποίου η βαθμολογία επιδεινώνεται καθώς τίθενται σε ισχύ οι συντελεστές μείωσης του </w:t>
      </w:r>
      <w:r w:rsidRPr="006E06F2">
        <w:rPr>
          <w:b/>
          <w:bCs/>
        </w:rPr>
        <w:t>Πίνακα 6</w:t>
      </w:r>
      <w:r>
        <w:t>. Η MEPC 83 ξεκίνησε επίσης μια αναθεώρηση των βραχυπρόθεσμων μέτρων, η οποία διαρκεί έως την άνοιξη του 2028 και καλύπτει το SEEMP, τους δείκτες του CII και τη συνέργεια με το Πλαίσιο Μηδενικών Καθαρών Εκπομπών [</w:t>
      </w:r>
      <w:r>
        <w:fldChar w:fldCharType="begin"/>
      </w:r>
      <w:r>
        <w:instrText xml:space="preserve"> REF _Ref_cit_10 \h \* MERGEFORMAT </w:instrText>
      </w:r>
      <w:r>
        <w:fldChar w:fldCharType="separate"/>
      </w:r>
      <w:r w:rsidR="00B0043E" w:rsidRPr="00B0043E">
        <w:t>10</w:t>
      </w:r>
      <w:r>
        <w:fldChar w:fldCharType="end"/>
      </w:r>
      <w:r>
        <w:t>], οπότε ο CII θα συνεχίσει να εξελίσσεται.</w:t>
      </w:r>
    </w:p>
    <w:p w14:paraId="4180128F" w14:textId="77777777" w:rsidR="00DE3C3C" w:rsidRDefault="003C7DFB">
      <w:pPr>
        <w:pStyle w:val="30"/>
      </w:pPr>
      <w:bookmarkStart w:id="156" w:name="_Toc243355326"/>
      <w:r>
        <w:lastRenderedPageBreak/>
        <w:t>Το Πλαίσιο Μηδενικών Καθαρών Εκπομπών του IMO</w:t>
      </w:r>
      <w:bookmarkEnd w:id="156"/>
    </w:p>
    <w:p w14:paraId="6954C233" w14:textId="3F22DCAD" w:rsidR="00DE3C3C" w:rsidRDefault="003C7DFB">
      <w:pPr>
        <w:spacing w:line="360" w:lineRule="auto"/>
        <w:ind w:firstLine="576"/>
        <w:jc w:val="both"/>
      </w:pPr>
      <w:r>
        <w:t xml:space="preserve">Το Πλαίσιο Μηδενικών Καθαρών Εκπομπών του IMO (IMO </w:t>
      </w:r>
      <w:proofErr w:type="spellStart"/>
      <w:r>
        <w:t>Net-Zero</w:t>
      </w:r>
      <w:proofErr w:type="spellEnd"/>
      <w:r>
        <w:t xml:space="preserve"> </w:t>
      </w:r>
      <w:proofErr w:type="spellStart"/>
      <w:r>
        <w:t>Framework</w:t>
      </w:r>
      <w:proofErr w:type="spellEnd"/>
      <w:r>
        <w:t>) εγκρίθηκε σε μορφή σχεδίου στη MEPC 83, τον Απρίλιο του 2025, όπως αναφέρθηκε στην Ενότητα 1.1.4 [</w:t>
      </w:r>
      <w:r>
        <w:fldChar w:fldCharType="begin"/>
      </w:r>
      <w:r>
        <w:instrText xml:space="preserve"> REF _Ref_cit_10 \h \* MERGEFORMAT </w:instrText>
      </w:r>
      <w:r>
        <w:fldChar w:fldCharType="separate"/>
      </w:r>
      <w:r w:rsidR="00B0043E" w:rsidRPr="00B0043E">
        <w:t>10</w:t>
      </w:r>
      <w:r>
        <w:fldChar w:fldCharType="end"/>
      </w:r>
      <w:r>
        <w:t xml:space="preserve">]. Συνδυάζει ένα παγκόσμιο πρότυπο καυσίμων, βασισμένο σε μια ένταση αερίων θερμοκηπίου του καυσίμου (GHG </w:t>
      </w:r>
      <w:proofErr w:type="spellStart"/>
      <w:r>
        <w:t>fuel</w:t>
      </w:r>
      <w:proofErr w:type="spellEnd"/>
      <w:r>
        <w:t xml:space="preserve"> </w:t>
      </w:r>
      <w:proofErr w:type="spellStart"/>
      <w:r>
        <w:t>intensity</w:t>
      </w:r>
      <w:proofErr w:type="spellEnd"/>
      <w:r>
        <w:t xml:space="preserve">, GFI) σε βάση </w:t>
      </w:r>
      <w:proofErr w:type="spellStart"/>
      <w:r>
        <w:t>well-to-wake</w:t>
      </w:r>
      <w:proofErr w:type="spellEnd"/>
      <w:r>
        <w:t xml:space="preserve"> την οποία</w:t>
      </w:r>
      <w:r w:rsidR="00F125CC">
        <w:t xml:space="preserve"> ένταση </w:t>
      </w:r>
      <w:r>
        <w:t>τα πλοία πρέπει να μειώνουν με την πάροδο του χρόνου, με έναν μηχανισμό τιμολόγησης των αερίων θερμοκηπίου, στο πλαίσιο του οποίου τα πλοία που υπερβαίνουν τους στόχους τους πρέπει να αγοράζουν μονάδες αποκατάστασης (</w:t>
      </w:r>
      <w:proofErr w:type="spellStart"/>
      <w:r>
        <w:t>remedial</w:t>
      </w:r>
      <w:proofErr w:type="spellEnd"/>
      <w:r>
        <w:t xml:space="preserve"> </w:t>
      </w:r>
      <w:proofErr w:type="spellStart"/>
      <w:r>
        <w:t>units</w:t>
      </w:r>
      <w:proofErr w:type="spellEnd"/>
      <w:r>
        <w:t>) σε δύο βαθμίδες,</w:t>
      </w:r>
      <w:r w:rsidR="00E55248">
        <w:t xml:space="preserve"> </w:t>
      </w:r>
      <w:r>
        <w:t>100</w:t>
      </w:r>
      <w:r w:rsidR="00E55248">
        <w:t xml:space="preserve"> USD</w:t>
      </w:r>
      <w:r>
        <w:t xml:space="preserve"> και 380</w:t>
      </w:r>
      <w:r w:rsidR="00E55248">
        <w:t xml:space="preserve"> USD</w:t>
      </w:r>
      <w:r>
        <w:t xml:space="preserve"> ανά τόνο ισοδύναμου CO₂ στ</w:t>
      </w:r>
      <w:r w:rsidR="00E55248">
        <w:t>ο</w:t>
      </w:r>
      <w:r>
        <w:t xml:space="preserve">ν αρχικό σχεδιασμό, ή μπορούν να λαμβάνουν πιστώσεις για </w:t>
      </w:r>
      <w:r w:rsidR="00705484">
        <w:t xml:space="preserve">υψηλότερη </w:t>
      </w:r>
      <w:r>
        <w:t>απόδοση. Εφαρμόζεται σε πλοία άνω των 5</w:t>
      </w:r>
      <w:r w:rsidR="00705484">
        <w:t>.</w:t>
      </w:r>
      <w:r>
        <w:t>000 GT και, σύμφωνα με το εγκεκριμένο σχέδιο, οι απαιτήσεις θα άρχιζαν την 1η Ιανουαρίου 2028· ο δείκτης GFI αναγνωρίζει επίσης την ηλεκτρική ενέργεια που παρέχεται στο πλοίο, την αιολική πρόωση και την ηλιακή ενέργεια [</w:t>
      </w:r>
      <w:r>
        <w:fldChar w:fldCharType="begin"/>
      </w:r>
      <w:r>
        <w:instrText xml:space="preserve"> REF _Ref_cit_54 \h \* MERGEFORMAT </w:instrText>
      </w:r>
      <w:r>
        <w:fldChar w:fldCharType="separate"/>
      </w:r>
      <w:r w:rsidR="00B0043E" w:rsidRPr="00B0043E">
        <w:t>54</w:t>
      </w:r>
      <w:r>
        <w:fldChar w:fldCharType="end"/>
      </w:r>
      <w:r>
        <w:t>].</w:t>
      </w:r>
    </w:p>
    <w:p w14:paraId="73AB1EF4" w14:textId="0376CFF2" w:rsidR="00DE3C3C" w:rsidRDefault="003C7DFB">
      <w:pPr>
        <w:spacing w:line="360" w:lineRule="auto"/>
        <w:ind w:firstLine="576"/>
        <w:jc w:val="both"/>
      </w:pPr>
      <w:r>
        <w:t>Η υιοθέτηση του πλαισίου έχει, ωστόσο, καθυστερήσει. Στην έκτακτη σύνοδο της Επιτροπής Προστασίας του Θαλάσσιου Περιβάλλοντος τον Οκτώβριο του 2025, τα κράτη μέλη επέλεξαν να αναβάλουν την ψηφοφορία κατά ένα έτος [</w:t>
      </w:r>
      <w:r>
        <w:fldChar w:fldCharType="begin"/>
      </w:r>
      <w:r>
        <w:instrText xml:space="preserve"> REF _Ref_cit_55 \h \* MERGEFORMAT </w:instrText>
      </w:r>
      <w:r>
        <w:fldChar w:fldCharType="separate"/>
      </w:r>
      <w:r w:rsidR="00B0043E" w:rsidRPr="00B0043E">
        <w:t>55</w:t>
      </w:r>
      <w:r>
        <w:fldChar w:fldCharType="end"/>
      </w:r>
      <w:r>
        <w:t>]. Στη MEPC 84, η οποία πραγματοποιήθηκε από τις 27 Απριλίου έως την 1</w:t>
      </w:r>
      <w:r w:rsidR="005C6EEE" w:rsidRPr="005C6EEE">
        <w:rPr>
          <w:vertAlign w:val="superscript"/>
        </w:rPr>
        <w:t>η</w:t>
      </w:r>
      <w:r w:rsidR="005C6EEE">
        <w:t xml:space="preserve"> </w:t>
      </w:r>
      <w:r>
        <w:t xml:space="preserve"> Μαΐου 2026, το κείμενο παρέμεινε αμετάβλητο, δεν επιτεύχθηκε συναίνεση σε εκκρεμή ζητήματα, όπως η σύσταση ενός ταμείου, και συμφωνήθηκε περαιτέρω </w:t>
      </w:r>
      <w:r w:rsidR="00564F9F">
        <w:t>ενδιάμεση συν</w:t>
      </w:r>
      <w:r>
        <w:t xml:space="preserve">εργασία, με τις Ηνωμένες Πολιτείες και μια ομάδα πετρελαιοπαραγωγών κρατών να τάσσονται κατά του πλαισίου και τους υποστηρικτές του, μεταξύ των οποίων η </w:t>
      </w:r>
      <w:proofErr w:type="spellStart"/>
      <w:r>
        <w:t>Getting</w:t>
      </w:r>
      <w:proofErr w:type="spellEnd"/>
      <w:r>
        <w:t xml:space="preserve"> </w:t>
      </w:r>
      <w:proofErr w:type="spellStart"/>
      <w:r>
        <w:t>to</w:t>
      </w:r>
      <w:proofErr w:type="spellEnd"/>
      <w:r>
        <w:t xml:space="preserve"> </w:t>
      </w:r>
      <w:proofErr w:type="spellStart"/>
      <w:r>
        <w:t>Zero</w:t>
      </w:r>
      <w:proofErr w:type="spellEnd"/>
      <w:r>
        <w:t xml:space="preserve"> </w:t>
      </w:r>
      <w:proofErr w:type="spellStart"/>
      <w:r>
        <w:t>Coalition</w:t>
      </w:r>
      <w:proofErr w:type="spellEnd"/>
      <w:r>
        <w:t>, υπέρ αυτού [</w:t>
      </w:r>
      <w:r>
        <w:fldChar w:fldCharType="begin"/>
      </w:r>
      <w:r>
        <w:instrText xml:space="preserve"> REF _Ref_cit_56 \h \* MERGEFORMAT </w:instrText>
      </w:r>
      <w:r>
        <w:fldChar w:fldCharType="separate"/>
      </w:r>
      <w:r w:rsidR="00B0043E" w:rsidRPr="00B0043E">
        <w:t>56</w:t>
      </w:r>
      <w:r>
        <w:fldChar w:fldCharType="end"/>
      </w:r>
      <w:r>
        <w:t>], [</w:t>
      </w:r>
      <w:r>
        <w:fldChar w:fldCharType="begin"/>
      </w:r>
      <w:r>
        <w:instrText xml:space="preserve"> REF _Ref_cit_57 \h \* MERGEFORMAT </w:instrText>
      </w:r>
      <w:r>
        <w:fldChar w:fldCharType="separate"/>
      </w:r>
      <w:r w:rsidR="00B0043E" w:rsidRPr="00B0043E">
        <w:t>57</w:t>
      </w:r>
      <w:r>
        <w:fldChar w:fldCharType="end"/>
      </w:r>
      <w:r>
        <w:t>]. Οι πηγές διαφέρουν ως προς το χρονοδιάγραμμα: η μία αναφέρει επανέναρξη της έκτακτης συνόδου στα τέλη του 2026 [</w:t>
      </w:r>
      <w:r>
        <w:fldChar w:fldCharType="begin"/>
      </w:r>
      <w:r>
        <w:instrText xml:space="preserve"> REF _Ref_cit_57 \h \* MERGEFORMAT </w:instrText>
      </w:r>
      <w:r>
        <w:fldChar w:fldCharType="separate"/>
      </w:r>
      <w:r w:rsidR="00B0043E" w:rsidRPr="00B0043E">
        <w:t>57</w:t>
      </w:r>
      <w:r>
        <w:fldChar w:fldCharType="end"/>
      </w:r>
      <w:r>
        <w:t>], ενώ η άλλη ότι δεν έχει οριστεί χρονοδιάγραμμα και ότι ουσιαστική πρόοδος αναμένεται το 2027–2028 [</w:t>
      </w:r>
      <w:r>
        <w:fldChar w:fldCharType="begin"/>
      </w:r>
      <w:r>
        <w:instrText xml:space="preserve"> REF _Ref_cit_56 \h \* MERGEFORMAT </w:instrText>
      </w:r>
      <w:r>
        <w:fldChar w:fldCharType="separate"/>
      </w:r>
      <w:r w:rsidR="00B0043E" w:rsidRPr="00B0043E">
        <w:t>56</w:t>
      </w:r>
      <w:r>
        <w:fldChar w:fldCharType="end"/>
      </w:r>
      <w:r>
        <w:t>]. Η MEPC 84 ενέκρινε επίσης την Πέμπτη Μελέτη του IMO για τα Αέρια Θερμοκηπίου, η οποία θα διεξαχθεί από τα τέλη του 2026 έως το 2028 [</w:t>
      </w:r>
      <w:r>
        <w:fldChar w:fldCharType="begin"/>
      </w:r>
      <w:r>
        <w:instrText xml:space="preserve"> REF _Ref_cit_56 \h \* MERGEFORMAT </w:instrText>
      </w:r>
      <w:r>
        <w:fldChar w:fldCharType="separate"/>
      </w:r>
      <w:r w:rsidR="00B0043E" w:rsidRPr="00B0043E">
        <w:t>56</w:t>
      </w:r>
      <w:r>
        <w:fldChar w:fldCharType="end"/>
      </w:r>
      <w:r>
        <w:t>]. Η έναρξη ισχύος που αναμενόταν για το 2027 κατά την Ενότητα 1.1.4 πρέπει επομένως να θεωρείται αβέβαιη και, για τους σκοπούς της παρούσας εργασίας, τα ευρωπαϊκά εργαλεία αποτελούν τους μόνους δεσμευτικούς χρηματοοικονομικούς μηχανισμούς που σχετίζονται με τον άνθρακα και εφαρμόζονται σε μια επένδυση WAPS, ενώ το πλαίσιο του IMO αντιπροσωπεύει μια αξία δικαιώματος προαίρεσης (</w:t>
      </w:r>
      <w:proofErr w:type="spellStart"/>
      <w:r>
        <w:t>option</w:t>
      </w:r>
      <w:proofErr w:type="spellEnd"/>
      <w:r>
        <w:t xml:space="preserve"> </w:t>
      </w:r>
      <w:proofErr w:type="spellStart"/>
      <w:r>
        <w:t>value</w:t>
      </w:r>
      <w:proofErr w:type="spellEnd"/>
      <w:r>
        <w:t xml:space="preserve">), η οποία θα μπορούσε να επεκτείνει ένα συγκρίσιμο σήμα στον παγκόσμιο στόλο. Οι </w:t>
      </w:r>
      <w:proofErr w:type="spellStart"/>
      <w:r w:rsidR="00312106">
        <w:lastRenderedPageBreak/>
        <w:t>Πλέσσα</w:t>
      </w:r>
      <w:r w:rsidR="007C50EB">
        <w:t>ς</w:t>
      </w:r>
      <w:proofErr w:type="spellEnd"/>
      <w:r w:rsidR="00312106">
        <w:t xml:space="preserve"> και Παπανικολάου</w:t>
      </w:r>
      <w:r>
        <w:t xml:space="preserve"> [</w:t>
      </w:r>
      <w:r>
        <w:fldChar w:fldCharType="begin"/>
      </w:r>
      <w:r>
        <w:instrText xml:space="preserve"> REF _Ref_cit_45 \h \* MERGEFORMAT </w:instrText>
      </w:r>
      <w:r>
        <w:fldChar w:fldCharType="separate"/>
      </w:r>
      <w:r w:rsidR="00B0043E" w:rsidRPr="00B0043E">
        <w:t>45</w:t>
      </w:r>
      <w:r>
        <w:fldChar w:fldCharType="end"/>
      </w:r>
      <w:r>
        <w:t>] αντιμετώπισαν την ίδια αβεβαιότητα προσεγγίζοντας το κόστος του πλαισίου κατ’ αναλογία με την τιμολόγηση άνθρακα ευρωπαϊκού τύπου.</w:t>
      </w:r>
    </w:p>
    <w:p w14:paraId="06CF5D39" w14:textId="77777777" w:rsidR="00DE3C3C" w:rsidRDefault="003C7DFB">
      <w:pPr>
        <w:pStyle w:val="20"/>
      </w:pPr>
      <w:bookmarkStart w:id="157" w:name="_Toc243355327"/>
      <w:r>
        <w:t>Αναγνώριση, επαλήθευση και πιστοποίηση των WAPS</w:t>
      </w:r>
      <w:bookmarkEnd w:id="157"/>
    </w:p>
    <w:p w14:paraId="5C37FA72" w14:textId="77777777" w:rsidR="00DE3C3C" w:rsidRDefault="003C7DFB">
      <w:pPr>
        <w:spacing w:line="360" w:lineRule="auto"/>
        <w:ind w:firstLine="576"/>
        <w:jc w:val="both"/>
      </w:pPr>
      <w:r>
        <w:t xml:space="preserve">Οι κανονισμοί που </w:t>
      </w:r>
      <w:proofErr w:type="spellStart"/>
      <w:r>
        <w:t>περιγράφηκαν</w:t>
      </w:r>
      <w:proofErr w:type="spellEnd"/>
      <w:r>
        <w:t xml:space="preserve"> στις προηγούμενες ενότητες δημιουργούν αξία για ένα WAPS μόνο εφόσον η συμβολή του ανέμου στην πρόωση μπορεί να </w:t>
      </w:r>
      <w:proofErr w:type="spellStart"/>
      <w:r>
        <w:t>ποσοτικοποιηθεί</w:t>
      </w:r>
      <w:proofErr w:type="spellEnd"/>
      <w:r>
        <w:t xml:space="preserve"> με τρόπο αποδεκτό από τις ρυθμιστικές αρχές, τους επαληθευτές και τους χρηματοδότες. Η αντιμετώπιση των WAPS στο κανονιστικό πλαίσιο δεν έχει ακόμη παγιωθεί πλήρως, και σε αυτόν ακριβώς τον τομέα παραμένουν τα μεγαλύτερα κενά μεταξύ των δημοσιευμένων ισχυρισμών για την επίδοση και της αξίας που μπορεί να αναγνωριστεί στους υπολογισμούς συμμόρφωσης. Η ενότητα αυτή εξετάζει τη μέθοδο που χρησιμοποιείται για τους δείκτες EEDI και EEXI, τις πρωτοβουλίες για την επαλήθευση της επίδοσης και την κατάσταση των κανόνων των νηογνωμόνων και των ανοιχτών κανονιστικών ζητημάτων.</w:t>
      </w:r>
    </w:p>
    <w:p w14:paraId="6A8FBDBB" w14:textId="77777777" w:rsidR="00DE3C3C" w:rsidRDefault="003C7DFB">
      <w:pPr>
        <w:pStyle w:val="30"/>
      </w:pPr>
      <w:bookmarkStart w:id="158" w:name="_Toc243355328"/>
      <w:r>
        <w:t>Η αντιμετώπιση των WAPS στους δείκτες EEDI και EEXI</w:t>
      </w:r>
      <w:bookmarkEnd w:id="158"/>
    </w:p>
    <w:p w14:paraId="276E925E" w14:textId="11E407FD" w:rsidR="00DE3C3C" w:rsidRDefault="003C7DFB">
      <w:pPr>
        <w:spacing w:line="360" w:lineRule="auto"/>
        <w:ind w:firstLine="576"/>
        <w:jc w:val="both"/>
      </w:pPr>
      <w:r>
        <w:t>Από το 2021, ο IMO αντιμετωπίζει την ώση των συστημάτων αιολικής υποβοήθησης ως καινοτόμ</w:t>
      </w:r>
      <w:r w:rsidR="00AF0112">
        <w:t>α</w:t>
      </w:r>
      <w:r>
        <w:t xml:space="preserve"> τεχνολογία ενεργειακής απόδοσης στον υπολογισμό των δεικτών EEDI και EEXI, μέσω των κατευθυντήριων γραμμών της εγκυκλίου MEPC.1/Circ.896 [</w:t>
      </w:r>
      <w:r>
        <w:fldChar w:fldCharType="begin"/>
      </w:r>
      <w:r>
        <w:instrText xml:space="preserve"> REF _Ref_cit_7 \h \* MERGEFORMAT </w:instrText>
      </w:r>
      <w:r>
        <w:fldChar w:fldCharType="separate"/>
      </w:r>
      <w:r w:rsidR="00B0043E" w:rsidRPr="00B0043E">
        <w:t>7</w:t>
      </w:r>
      <w:r>
        <w:fldChar w:fldCharType="end"/>
      </w:r>
      <w:r>
        <w:t>], [</w:t>
      </w:r>
      <w:r>
        <w:fldChar w:fldCharType="begin"/>
      </w:r>
      <w:r>
        <w:instrText xml:space="preserve"> REF _Ref_cit_38 \h \* MERGEFORMAT </w:instrText>
      </w:r>
      <w:r>
        <w:fldChar w:fldCharType="separate"/>
      </w:r>
      <w:r w:rsidR="00B0043E" w:rsidRPr="00B0043E">
        <w:t>38</w:t>
      </w:r>
      <w:r>
        <w:fldChar w:fldCharType="end"/>
      </w:r>
      <w:r>
        <w:t xml:space="preserve">]. Η μέθοδος πιστώνει στο WAPS μια ενεργό ισχύ, η οποία υπολογίζεται από την ώση που αποδίδει το σύστημα σε έναν παγκόσμιο πίνακα ταχυτήτων και διευθύνσεων ανέμου, και χρησιμοποιείται μόνο το ευνοϊκότερο ήμισυ των συνθηκών ανέμου, δηλαδή οι συνθήκες που εμφανίζονται με πιθανότητα έως 50%. Η ενεργός ισχύς μειώνει την ισχύ που πρέπει να παρέχει η κύρια μηχανή στον υπολογισμό του </w:t>
      </w:r>
      <w:r w:rsidR="00AF0112">
        <w:t>πραγματικού</w:t>
      </w:r>
      <w:r>
        <w:t xml:space="preserve"> δείκτη. Η μέθοδος έχει δύο συνέπειες. Αφενός, είναι συντηρητική, καθώς χρησιμοποιεί ένα ενιαίο παγκόσμιο αιολικό κλίμα που δεν εξαρτάται από τη διαδρομή του πλοίου και δεν λαμβάνει υπόψη τη δρομολόγηση με βάση τον καιρό ή οποιαδήποτε βελτιστοποίηση της πορείας. Αφετέρου, αποτελεί απλούστευση προς την αντίθετη κατεύθυνση, διότι στη βασική της μορφή αγνοεί την </w:t>
      </w:r>
      <w:r w:rsidR="004327F1">
        <w:t>αντίσταση</w:t>
      </w:r>
      <w:r>
        <w:t>, την εκτροπή λόγω πλευρικής ολίσθησης (</w:t>
      </w:r>
      <w:proofErr w:type="spellStart"/>
      <w:r>
        <w:t>leeway</w:t>
      </w:r>
      <w:proofErr w:type="spellEnd"/>
      <w:r>
        <w:t xml:space="preserve">) και την αντίσταση του πηδαλίου που συνοδεύουν την ανάπτυξη πλευρικής δύναμης, οπότε το πραγματικό καθαρό όφελος είναι μικρότερο από αυτό που θα υποδήλωνε η </w:t>
      </w:r>
      <w:proofErr w:type="spellStart"/>
      <w:r w:rsidR="00D16BE1">
        <w:t>παραγώμενη</w:t>
      </w:r>
      <w:proofErr w:type="spellEnd"/>
      <w:r>
        <w:t xml:space="preserve"> ώση [</w:t>
      </w:r>
      <w:r>
        <w:fldChar w:fldCharType="begin"/>
      </w:r>
      <w:r>
        <w:instrText xml:space="preserve"> REF _Ref_cit_38 \h \* MERGEFORMAT </w:instrText>
      </w:r>
      <w:r>
        <w:fldChar w:fldCharType="separate"/>
      </w:r>
      <w:r w:rsidR="00B0043E" w:rsidRPr="00B0043E">
        <w:t>38</w:t>
      </w:r>
      <w:r>
        <w:fldChar w:fldCharType="end"/>
      </w:r>
      <w:r>
        <w:t>].</w:t>
      </w:r>
    </w:p>
    <w:p w14:paraId="57F1D50C" w14:textId="74FDB694" w:rsidR="00DE3C3C" w:rsidRDefault="003C7DFB">
      <w:pPr>
        <w:spacing w:line="360" w:lineRule="auto"/>
        <w:ind w:firstLine="576"/>
        <w:jc w:val="both"/>
      </w:pPr>
      <w:r>
        <w:t xml:space="preserve">Η διπλωματική εργασία της </w:t>
      </w:r>
      <w:proofErr w:type="spellStart"/>
      <w:r>
        <w:t>Zoi</w:t>
      </w:r>
      <w:proofErr w:type="spellEnd"/>
      <w:r>
        <w:t xml:space="preserve"> [</w:t>
      </w:r>
      <w:r>
        <w:fldChar w:fldCharType="begin"/>
      </w:r>
      <w:r>
        <w:instrText xml:space="preserve"> REF _Ref_cit_38 \h \* MERGEFORMAT </w:instrText>
      </w:r>
      <w:r>
        <w:fldChar w:fldCharType="separate"/>
      </w:r>
      <w:r w:rsidR="00B0043E" w:rsidRPr="00B0043E">
        <w:t>38</w:t>
      </w:r>
      <w:r>
        <w:fldChar w:fldCharType="end"/>
      </w:r>
      <w:r>
        <w:t xml:space="preserve">] </w:t>
      </w:r>
      <w:proofErr w:type="spellStart"/>
      <w:r>
        <w:t>ποσοτικοποίησε</w:t>
      </w:r>
      <w:proofErr w:type="spellEnd"/>
      <w:r>
        <w:t xml:space="preserve"> τις επιδράσεις αυτές για ένα συγκεκριμένο πλοίο, το φορτηγό πλοίο χύδην ξηρού φορτίου M/V </w:t>
      </w:r>
      <w:proofErr w:type="spellStart"/>
      <w:r>
        <w:t>Kastor</w:t>
      </w:r>
      <w:proofErr w:type="spellEnd"/>
      <w:r>
        <w:t xml:space="preserve">, μήκους </w:t>
      </w:r>
      <w:r>
        <w:lastRenderedPageBreak/>
        <w:t>229 m, με επιτευχθέντα EEDI 3</w:t>
      </w:r>
      <w:r w:rsidR="00D16BE1">
        <w:t>,</w:t>
      </w:r>
      <w:r>
        <w:t>85 και EEXI 3</w:t>
      </w:r>
      <w:r w:rsidR="00D16BE1">
        <w:t>,</w:t>
      </w:r>
      <w:r>
        <w:t>502, του οποίου η μηχανή των 9</w:t>
      </w:r>
      <w:r w:rsidR="00D16BE1">
        <w:t>.</w:t>
      </w:r>
      <w:r>
        <w:t xml:space="preserve">930 </w:t>
      </w:r>
      <w:proofErr w:type="spellStart"/>
      <w:r>
        <w:t>kW</w:t>
      </w:r>
      <w:proofErr w:type="spellEnd"/>
      <w:r>
        <w:t xml:space="preserve"> έχει περιοριστεί στα 8</w:t>
      </w:r>
      <w:r w:rsidR="00A53F9C">
        <w:t>.</w:t>
      </w:r>
      <w:r>
        <w:t xml:space="preserve">230 </w:t>
      </w:r>
      <w:proofErr w:type="spellStart"/>
      <w:r>
        <w:t>kW</w:t>
      </w:r>
      <w:proofErr w:type="spellEnd"/>
      <w:r>
        <w:t xml:space="preserve">. Η ανάλυση εξετάζει τέσσερις πτέρυγες αναρρόφησης bound4blue και συγκρίνει τη μείωση του επιτευχθέντος EEDI που προκύπτει με τη μέθοδο του IMO για τον παγκόσμιο πίνακα ανέμου και για τρία αιολικά κλίματα συγκεκριμένων διαδρομών με τη μείωση που προκύπτει όταν συνυπολογίζονται επίσης το μοντέλο κυματισμού και οι επιδράσεις της πλευρικής δύναμης. Τα αποτελέσματα παρουσιάζονται στον </w:t>
      </w:r>
      <w:r w:rsidRPr="00A53F9C">
        <w:rPr>
          <w:b/>
          <w:bCs/>
        </w:rPr>
        <w:t>Πίνακα 7</w:t>
      </w:r>
      <w:r>
        <w:t>. Με τον παγκόσμιο πίνακα ανέμου, η μείωση του επιτευχθέντος EEDI είναι 9</w:t>
      </w:r>
      <w:r w:rsidR="00A53F9C">
        <w:t>,</w:t>
      </w:r>
      <w:r>
        <w:t>71%, ενώ στις δύο ευνοϊκότερες διαδρομές ανέρχεται σε 16</w:t>
      </w:r>
      <w:r w:rsidR="00A53F9C">
        <w:t>,</w:t>
      </w:r>
      <w:r>
        <w:t>5%, και στη λιγότερο ευνοϊκή διαδρομή (</w:t>
      </w:r>
      <w:proofErr w:type="spellStart"/>
      <w:r>
        <w:t>Port</w:t>
      </w:r>
      <w:proofErr w:type="spellEnd"/>
      <w:r>
        <w:t xml:space="preserve"> </w:t>
      </w:r>
      <w:proofErr w:type="spellStart"/>
      <w:r>
        <w:t>Louis</w:t>
      </w:r>
      <w:proofErr w:type="spellEnd"/>
      <w:r>
        <w:t xml:space="preserve"> προς </w:t>
      </w:r>
      <w:proofErr w:type="spellStart"/>
      <w:r>
        <w:t>Banda</w:t>
      </w:r>
      <w:proofErr w:type="spellEnd"/>
      <w:r>
        <w:t xml:space="preserve"> </w:t>
      </w:r>
      <w:proofErr w:type="spellStart"/>
      <w:r>
        <w:t>Aceh</w:t>
      </w:r>
      <w:proofErr w:type="spellEnd"/>
      <w:r>
        <w:t>) πέφτει στο 9</w:t>
      </w:r>
      <w:r w:rsidR="009367AA">
        <w:t>,</w:t>
      </w:r>
      <w:r>
        <w:t>4%. Όταν λαμβάνονται υπόψη η πλευρική δύναμη, η πλευρική ολίσθηση και η αντίσταση του πηδαλίου, η μείωση περιορίζεται κατά περίπου 40%, σε 5</w:t>
      </w:r>
      <w:r w:rsidR="009367AA">
        <w:t>,</w:t>
      </w:r>
      <w:r>
        <w:t>82% σε παγκόσμιο επίπεδο και σε 11</w:t>
      </w:r>
      <w:r w:rsidR="009367AA">
        <w:t>,</w:t>
      </w:r>
      <w:r>
        <w:t>4% έως 11</w:t>
      </w:r>
      <w:r w:rsidR="009367AA">
        <w:t>,</w:t>
      </w:r>
      <w:r>
        <w:t>9% στις ευνοϊκές διαδρομές [</w:t>
      </w:r>
      <w:r>
        <w:fldChar w:fldCharType="begin"/>
      </w:r>
      <w:r>
        <w:instrText xml:space="preserve"> REF _Ref_cit_38 \h \* MERGEFORMAT </w:instrText>
      </w:r>
      <w:r>
        <w:fldChar w:fldCharType="separate"/>
      </w:r>
      <w:r w:rsidR="00B0043E" w:rsidRPr="00B0043E">
        <w:t>38</w:t>
      </w:r>
      <w:r>
        <w:fldChar w:fldCharType="end"/>
      </w:r>
      <w:r>
        <w:t>]. Η ενεργός ισχύς του ανέμου αντιστοιχεί στο 2</w:t>
      </w:r>
      <w:r w:rsidR="009367AA">
        <w:t>,</w:t>
      </w:r>
      <w:r>
        <w:t>6% της ισχύος της κύριας μηχανής κατά τον παγκόσμιο μέσο όρο και σε περίπου 4</w:t>
      </w:r>
      <w:r w:rsidR="009367AA">
        <w:t>,</w:t>
      </w:r>
      <w:r>
        <w:t>5% στις καλύτερες διαδρομές.</w:t>
      </w:r>
    </w:p>
    <w:p w14:paraId="73871056" w14:textId="4537ABD7" w:rsidR="00DE3C3C" w:rsidRDefault="003C7DFB">
      <w:pPr>
        <w:pStyle w:val="af2"/>
        <w:keepNext/>
        <w:jc w:val="center"/>
        <w:rPr>
          <w:b/>
          <w:bCs/>
          <w:noProof/>
        </w:rPr>
      </w:pPr>
      <w:r>
        <w:rPr>
          <w:b/>
          <w:bCs/>
        </w:rPr>
        <w:t xml:space="preserve">Πίνακας </w:t>
      </w:r>
      <w:r>
        <w:rPr>
          <w:b/>
          <w:bCs/>
        </w:rPr>
        <w:fldChar w:fldCharType="begin"/>
      </w:r>
      <w:r>
        <w:rPr>
          <w:b/>
          <w:bCs/>
        </w:rPr>
        <w:instrText xml:space="preserve"> SEQ Table \* ARABIC </w:instrText>
      </w:r>
      <w:r>
        <w:rPr>
          <w:b/>
          <w:bCs/>
        </w:rPr>
        <w:fldChar w:fldCharType="separate"/>
      </w:r>
      <w:r w:rsidR="00B0043E">
        <w:rPr>
          <w:b/>
          <w:bCs/>
          <w:noProof/>
        </w:rPr>
        <w:t>7</w:t>
      </w:r>
      <w:r>
        <w:rPr>
          <w:b/>
          <w:bCs/>
        </w:rPr>
        <w:fldChar w:fldCharType="end"/>
      </w:r>
      <w:r>
        <w:rPr>
          <w:b/>
          <w:bCs/>
        </w:rPr>
        <w:t xml:space="preserve">: Μείωση του επιτευχθέντος EEDI του M/V </w:t>
      </w:r>
      <w:proofErr w:type="spellStart"/>
      <w:r>
        <w:rPr>
          <w:b/>
          <w:bCs/>
        </w:rPr>
        <w:t>Kastor</w:t>
      </w:r>
      <w:proofErr w:type="spellEnd"/>
      <w:r>
        <w:rPr>
          <w:b/>
          <w:bCs/>
        </w:rPr>
        <w:t xml:space="preserve"> με τέσσερις πτέρυγες αναρρόφησης, ανάλογα με τη μέθοδο που χρησιμοποιείται.</w:t>
      </w:r>
    </w:p>
    <w:tbl>
      <w:tblPr>
        <w:tblW w:w="8640"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2600"/>
        <w:gridCol w:w="2000"/>
        <w:gridCol w:w="2000"/>
        <w:gridCol w:w="2040"/>
      </w:tblGrid>
      <w:tr w:rsidR="00DE3C3C" w14:paraId="530CF5E1" w14:textId="77777777">
        <w:trPr>
          <w:cantSplit/>
          <w:tblHeader/>
          <w:jc w:val="center"/>
        </w:trPr>
        <w:tc>
          <w:tcPr>
            <w:tcW w:w="2600" w:type="dxa"/>
            <w:shd w:val="clear" w:color="auto" w:fill="D9D9D9"/>
            <w:tcMar>
              <w:top w:w="60" w:type="dxa"/>
              <w:left w:w="100" w:type="dxa"/>
              <w:bottom w:w="60" w:type="dxa"/>
              <w:right w:w="100" w:type="dxa"/>
            </w:tcMar>
            <w:vAlign w:val="center"/>
          </w:tcPr>
          <w:p w14:paraId="1F8AB16C" w14:textId="77777777" w:rsidR="00DE3C3C" w:rsidRDefault="003C7DFB" w:rsidP="00535231">
            <w:pPr>
              <w:spacing w:after="0" w:line="240" w:lineRule="auto"/>
              <w:jc w:val="center"/>
              <w:rPr>
                <w:sz w:val="18"/>
                <w:szCs w:val="18"/>
              </w:rPr>
            </w:pPr>
            <w:r>
              <w:rPr>
                <w:b/>
                <w:bCs/>
                <w:sz w:val="18"/>
                <w:szCs w:val="18"/>
              </w:rPr>
              <w:t>Δεδομένα ανέμου</w:t>
            </w:r>
          </w:p>
        </w:tc>
        <w:tc>
          <w:tcPr>
            <w:tcW w:w="2000" w:type="dxa"/>
            <w:shd w:val="clear" w:color="auto" w:fill="D9D9D9"/>
            <w:tcMar>
              <w:top w:w="60" w:type="dxa"/>
              <w:left w:w="100" w:type="dxa"/>
              <w:bottom w:w="60" w:type="dxa"/>
              <w:right w:w="100" w:type="dxa"/>
            </w:tcMar>
            <w:vAlign w:val="center"/>
          </w:tcPr>
          <w:p w14:paraId="26C55194" w14:textId="77777777" w:rsidR="00DE3C3C" w:rsidRDefault="003C7DFB" w:rsidP="00535231">
            <w:pPr>
              <w:spacing w:after="0" w:line="240" w:lineRule="auto"/>
              <w:jc w:val="center"/>
              <w:rPr>
                <w:sz w:val="18"/>
                <w:szCs w:val="18"/>
              </w:rPr>
            </w:pPr>
            <w:r>
              <w:rPr>
                <w:b/>
                <w:bCs/>
                <w:sz w:val="18"/>
                <w:szCs w:val="18"/>
              </w:rPr>
              <w:t>Μέθοδος IMO Circ.896</w:t>
            </w:r>
          </w:p>
        </w:tc>
        <w:tc>
          <w:tcPr>
            <w:tcW w:w="2000" w:type="dxa"/>
            <w:shd w:val="clear" w:color="auto" w:fill="D9D9D9"/>
            <w:tcMar>
              <w:top w:w="60" w:type="dxa"/>
              <w:left w:w="100" w:type="dxa"/>
              <w:bottom w:w="60" w:type="dxa"/>
              <w:right w:w="100" w:type="dxa"/>
            </w:tcMar>
            <w:vAlign w:val="center"/>
          </w:tcPr>
          <w:p w14:paraId="7AD77055" w14:textId="77777777" w:rsidR="00DE3C3C" w:rsidRDefault="003C7DFB" w:rsidP="00535231">
            <w:pPr>
              <w:spacing w:after="0" w:line="240" w:lineRule="auto"/>
              <w:jc w:val="center"/>
              <w:rPr>
                <w:sz w:val="18"/>
                <w:szCs w:val="18"/>
              </w:rPr>
            </w:pPr>
            <w:r>
              <w:rPr>
                <w:b/>
                <w:bCs/>
                <w:sz w:val="18"/>
                <w:szCs w:val="18"/>
              </w:rPr>
              <w:t>Μοντέλο ανέμου και κυματισμού</w:t>
            </w:r>
          </w:p>
        </w:tc>
        <w:tc>
          <w:tcPr>
            <w:tcW w:w="2040" w:type="dxa"/>
            <w:shd w:val="clear" w:color="auto" w:fill="D9D9D9"/>
            <w:tcMar>
              <w:top w:w="60" w:type="dxa"/>
              <w:left w:w="100" w:type="dxa"/>
              <w:bottom w:w="60" w:type="dxa"/>
              <w:right w:w="100" w:type="dxa"/>
            </w:tcMar>
            <w:vAlign w:val="center"/>
          </w:tcPr>
          <w:p w14:paraId="35FD575A" w14:textId="77777777" w:rsidR="00DE3C3C" w:rsidRDefault="003C7DFB" w:rsidP="00535231">
            <w:pPr>
              <w:spacing w:after="0" w:line="240" w:lineRule="auto"/>
              <w:jc w:val="center"/>
              <w:rPr>
                <w:sz w:val="18"/>
                <w:szCs w:val="18"/>
              </w:rPr>
            </w:pPr>
            <w:r>
              <w:rPr>
                <w:b/>
                <w:bCs/>
                <w:sz w:val="18"/>
                <w:szCs w:val="18"/>
              </w:rPr>
              <w:t>Με συνυπολογισμό των πλευρικών δυνάμεων</w:t>
            </w:r>
          </w:p>
        </w:tc>
      </w:tr>
      <w:tr w:rsidR="00DE3C3C" w14:paraId="1D071527" w14:textId="77777777">
        <w:trPr>
          <w:cantSplit/>
          <w:jc w:val="center"/>
        </w:trPr>
        <w:tc>
          <w:tcPr>
            <w:tcW w:w="2600" w:type="dxa"/>
            <w:tcMar>
              <w:top w:w="60" w:type="dxa"/>
              <w:left w:w="100" w:type="dxa"/>
              <w:bottom w:w="60" w:type="dxa"/>
              <w:right w:w="100" w:type="dxa"/>
            </w:tcMar>
            <w:vAlign w:val="center"/>
          </w:tcPr>
          <w:p w14:paraId="33419EF1" w14:textId="77777777" w:rsidR="00DE3C3C" w:rsidRDefault="003C7DFB" w:rsidP="00535231">
            <w:pPr>
              <w:spacing w:after="0" w:line="240" w:lineRule="auto"/>
              <w:jc w:val="center"/>
              <w:rPr>
                <w:sz w:val="18"/>
                <w:szCs w:val="18"/>
              </w:rPr>
            </w:pPr>
            <w:r>
              <w:rPr>
                <w:sz w:val="18"/>
                <w:szCs w:val="18"/>
              </w:rPr>
              <w:t>Παγκόσμιος πίνακας ανέμου</w:t>
            </w:r>
          </w:p>
        </w:tc>
        <w:tc>
          <w:tcPr>
            <w:tcW w:w="2000" w:type="dxa"/>
            <w:tcMar>
              <w:top w:w="60" w:type="dxa"/>
              <w:left w:w="100" w:type="dxa"/>
              <w:bottom w:w="60" w:type="dxa"/>
              <w:right w:w="100" w:type="dxa"/>
            </w:tcMar>
            <w:vAlign w:val="center"/>
          </w:tcPr>
          <w:p w14:paraId="777B5418" w14:textId="7C46EB42" w:rsidR="00DE3C3C" w:rsidRDefault="003C7DFB" w:rsidP="00535231">
            <w:pPr>
              <w:spacing w:after="0" w:line="240" w:lineRule="auto"/>
              <w:jc w:val="center"/>
              <w:rPr>
                <w:sz w:val="18"/>
                <w:szCs w:val="18"/>
              </w:rPr>
            </w:pPr>
            <w:r>
              <w:rPr>
                <w:sz w:val="18"/>
                <w:szCs w:val="18"/>
              </w:rPr>
              <w:t>9</w:t>
            </w:r>
            <w:r w:rsidR="009D2CAD">
              <w:rPr>
                <w:sz w:val="18"/>
                <w:szCs w:val="18"/>
              </w:rPr>
              <w:t>,</w:t>
            </w:r>
            <w:r>
              <w:rPr>
                <w:sz w:val="18"/>
                <w:szCs w:val="18"/>
              </w:rPr>
              <w:t>71%</w:t>
            </w:r>
          </w:p>
        </w:tc>
        <w:tc>
          <w:tcPr>
            <w:tcW w:w="2000" w:type="dxa"/>
            <w:tcMar>
              <w:top w:w="60" w:type="dxa"/>
              <w:left w:w="100" w:type="dxa"/>
              <w:bottom w:w="60" w:type="dxa"/>
              <w:right w:w="100" w:type="dxa"/>
            </w:tcMar>
            <w:vAlign w:val="center"/>
          </w:tcPr>
          <w:p w14:paraId="51562709" w14:textId="4F55DD19" w:rsidR="00DE3C3C" w:rsidRDefault="003C7DFB" w:rsidP="00535231">
            <w:pPr>
              <w:spacing w:after="0" w:line="240" w:lineRule="auto"/>
              <w:jc w:val="center"/>
              <w:rPr>
                <w:sz w:val="18"/>
                <w:szCs w:val="18"/>
              </w:rPr>
            </w:pPr>
            <w:r>
              <w:rPr>
                <w:sz w:val="18"/>
                <w:szCs w:val="18"/>
              </w:rPr>
              <w:t>9</w:t>
            </w:r>
            <w:r w:rsidR="009D2CAD">
              <w:rPr>
                <w:sz w:val="18"/>
                <w:szCs w:val="18"/>
              </w:rPr>
              <w:t>,</w:t>
            </w:r>
            <w:r>
              <w:rPr>
                <w:sz w:val="18"/>
                <w:szCs w:val="18"/>
              </w:rPr>
              <w:t>24%</w:t>
            </w:r>
          </w:p>
        </w:tc>
        <w:tc>
          <w:tcPr>
            <w:tcW w:w="2040" w:type="dxa"/>
            <w:tcMar>
              <w:top w:w="60" w:type="dxa"/>
              <w:left w:w="100" w:type="dxa"/>
              <w:bottom w:w="60" w:type="dxa"/>
              <w:right w:w="100" w:type="dxa"/>
            </w:tcMar>
            <w:vAlign w:val="center"/>
          </w:tcPr>
          <w:p w14:paraId="71246A18" w14:textId="573717B5" w:rsidR="00DE3C3C" w:rsidRDefault="003C7DFB" w:rsidP="00535231">
            <w:pPr>
              <w:spacing w:after="0" w:line="240" w:lineRule="auto"/>
              <w:jc w:val="center"/>
              <w:rPr>
                <w:sz w:val="18"/>
                <w:szCs w:val="18"/>
              </w:rPr>
            </w:pPr>
            <w:r>
              <w:rPr>
                <w:sz w:val="18"/>
                <w:szCs w:val="18"/>
              </w:rPr>
              <w:t>5</w:t>
            </w:r>
            <w:r w:rsidR="009D2CAD">
              <w:rPr>
                <w:sz w:val="18"/>
                <w:szCs w:val="18"/>
              </w:rPr>
              <w:t>,</w:t>
            </w:r>
            <w:r>
              <w:rPr>
                <w:sz w:val="18"/>
                <w:szCs w:val="18"/>
              </w:rPr>
              <w:t>82%</w:t>
            </w:r>
          </w:p>
        </w:tc>
      </w:tr>
      <w:tr w:rsidR="00DE3C3C" w14:paraId="739CC06E" w14:textId="77777777">
        <w:trPr>
          <w:cantSplit/>
          <w:jc w:val="center"/>
        </w:trPr>
        <w:tc>
          <w:tcPr>
            <w:tcW w:w="2600" w:type="dxa"/>
            <w:tcMar>
              <w:top w:w="60" w:type="dxa"/>
              <w:left w:w="100" w:type="dxa"/>
              <w:bottom w:w="60" w:type="dxa"/>
              <w:right w:w="100" w:type="dxa"/>
            </w:tcMar>
            <w:vAlign w:val="center"/>
          </w:tcPr>
          <w:p w14:paraId="33C34B84" w14:textId="77777777" w:rsidR="00DE3C3C" w:rsidRDefault="003C7DFB" w:rsidP="00535231">
            <w:pPr>
              <w:spacing w:after="0" w:line="240" w:lineRule="auto"/>
              <w:jc w:val="center"/>
              <w:rPr>
                <w:sz w:val="18"/>
                <w:szCs w:val="18"/>
              </w:rPr>
            </w:pPr>
            <w:proofErr w:type="spellStart"/>
            <w:r>
              <w:rPr>
                <w:sz w:val="18"/>
                <w:szCs w:val="18"/>
              </w:rPr>
              <w:t>Port</w:t>
            </w:r>
            <w:proofErr w:type="spellEnd"/>
            <w:r>
              <w:rPr>
                <w:sz w:val="18"/>
                <w:szCs w:val="18"/>
              </w:rPr>
              <w:t xml:space="preserve"> </w:t>
            </w:r>
            <w:proofErr w:type="spellStart"/>
            <w:r>
              <w:rPr>
                <w:sz w:val="18"/>
                <w:szCs w:val="18"/>
              </w:rPr>
              <w:t>Cartier</w:t>
            </w:r>
            <w:proofErr w:type="spellEnd"/>
            <w:r>
              <w:rPr>
                <w:sz w:val="18"/>
                <w:szCs w:val="18"/>
              </w:rPr>
              <w:t>–Αμβούργο</w:t>
            </w:r>
          </w:p>
        </w:tc>
        <w:tc>
          <w:tcPr>
            <w:tcW w:w="2000" w:type="dxa"/>
            <w:tcMar>
              <w:top w:w="60" w:type="dxa"/>
              <w:left w:w="100" w:type="dxa"/>
              <w:bottom w:w="60" w:type="dxa"/>
              <w:right w:w="100" w:type="dxa"/>
            </w:tcMar>
            <w:vAlign w:val="center"/>
          </w:tcPr>
          <w:p w14:paraId="6634D254" w14:textId="1B533A14" w:rsidR="00DE3C3C" w:rsidRDefault="003C7DFB" w:rsidP="00535231">
            <w:pPr>
              <w:spacing w:after="0" w:line="240" w:lineRule="auto"/>
              <w:jc w:val="center"/>
              <w:rPr>
                <w:sz w:val="18"/>
                <w:szCs w:val="18"/>
              </w:rPr>
            </w:pPr>
            <w:r>
              <w:rPr>
                <w:sz w:val="18"/>
                <w:szCs w:val="18"/>
              </w:rPr>
              <w:t>16</w:t>
            </w:r>
            <w:r w:rsidR="009D2CAD">
              <w:rPr>
                <w:sz w:val="18"/>
                <w:szCs w:val="18"/>
              </w:rPr>
              <w:t>,</w:t>
            </w:r>
            <w:r>
              <w:rPr>
                <w:sz w:val="18"/>
                <w:szCs w:val="18"/>
              </w:rPr>
              <w:t>57%</w:t>
            </w:r>
          </w:p>
        </w:tc>
        <w:tc>
          <w:tcPr>
            <w:tcW w:w="2000" w:type="dxa"/>
            <w:tcMar>
              <w:top w:w="60" w:type="dxa"/>
              <w:left w:w="100" w:type="dxa"/>
              <w:bottom w:w="60" w:type="dxa"/>
              <w:right w:w="100" w:type="dxa"/>
            </w:tcMar>
            <w:vAlign w:val="center"/>
          </w:tcPr>
          <w:p w14:paraId="1375D662" w14:textId="77669765" w:rsidR="00DE3C3C" w:rsidRDefault="003C7DFB" w:rsidP="00535231">
            <w:pPr>
              <w:spacing w:after="0" w:line="240" w:lineRule="auto"/>
              <w:jc w:val="center"/>
              <w:rPr>
                <w:sz w:val="18"/>
                <w:szCs w:val="18"/>
              </w:rPr>
            </w:pPr>
            <w:r>
              <w:rPr>
                <w:sz w:val="18"/>
                <w:szCs w:val="18"/>
              </w:rPr>
              <w:t>18</w:t>
            </w:r>
            <w:r w:rsidR="009D2CAD">
              <w:rPr>
                <w:sz w:val="18"/>
                <w:szCs w:val="18"/>
              </w:rPr>
              <w:t>,</w:t>
            </w:r>
            <w:r>
              <w:rPr>
                <w:sz w:val="18"/>
                <w:szCs w:val="18"/>
              </w:rPr>
              <w:t>17%</w:t>
            </w:r>
          </w:p>
        </w:tc>
        <w:tc>
          <w:tcPr>
            <w:tcW w:w="2040" w:type="dxa"/>
            <w:tcMar>
              <w:top w:w="60" w:type="dxa"/>
              <w:left w:w="100" w:type="dxa"/>
              <w:bottom w:w="60" w:type="dxa"/>
              <w:right w:w="100" w:type="dxa"/>
            </w:tcMar>
            <w:vAlign w:val="center"/>
          </w:tcPr>
          <w:p w14:paraId="2AAE165D" w14:textId="593F4EB2" w:rsidR="00DE3C3C" w:rsidRDefault="003C7DFB" w:rsidP="00535231">
            <w:pPr>
              <w:spacing w:after="0" w:line="240" w:lineRule="auto"/>
              <w:jc w:val="center"/>
              <w:rPr>
                <w:sz w:val="18"/>
                <w:szCs w:val="18"/>
              </w:rPr>
            </w:pPr>
            <w:r>
              <w:rPr>
                <w:sz w:val="18"/>
                <w:szCs w:val="18"/>
              </w:rPr>
              <w:t>11</w:t>
            </w:r>
            <w:r w:rsidR="009D2CAD">
              <w:rPr>
                <w:sz w:val="18"/>
                <w:szCs w:val="18"/>
              </w:rPr>
              <w:t>,</w:t>
            </w:r>
            <w:r>
              <w:rPr>
                <w:sz w:val="18"/>
                <w:szCs w:val="18"/>
              </w:rPr>
              <w:t>36%</w:t>
            </w:r>
          </w:p>
        </w:tc>
      </w:tr>
      <w:tr w:rsidR="00DE3C3C" w14:paraId="3719CD85" w14:textId="77777777">
        <w:trPr>
          <w:cantSplit/>
          <w:jc w:val="center"/>
        </w:trPr>
        <w:tc>
          <w:tcPr>
            <w:tcW w:w="2600" w:type="dxa"/>
            <w:tcMar>
              <w:top w:w="60" w:type="dxa"/>
              <w:left w:w="100" w:type="dxa"/>
              <w:bottom w:w="60" w:type="dxa"/>
              <w:right w:w="100" w:type="dxa"/>
            </w:tcMar>
            <w:vAlign w:val="center"/>
          </w:tcPr>
          <w:p w14:paraId="5F8F2336" w14:textId="77777777" w:rsidR="00DE3C3C" w:rsidRDefault="003C7DFB" w:rsidP="00535231">
            <w:pPr>
              <w:spacing w:after="0" w:line="240" w:lineRule="auto"/>
              <w:jc w:val="center"/>
              <w:rPr>
                <w:sz w:val="18"/>
                <w:szCs w:val="18"/>
              </w:rPr>
            </w:pPr>
            <w:r>
              <w:rPr>
                <w:sz w:val="18"/>
                <w:szCs w:val="18"/>
              </w:rPr>
              <w:t>Μπουένος Άιρες–Κέιπ Τάουν</w:t>
            </w:r>
          </w:p>
        </w:tc>
        <w:tc>
          <w:tcPr>
            <w:tcW w:w="2000" w:type="dxa"/>
            <w:tcMar>
              <w:top w:w="60" w:type="dxa"/>
              <w:left w:w="100" w:type="dxa"/>
              <w:bottom w:w="60" w:type="dxa"/>
              <w:right w:w="100" w:type="dxa"/>
            </w:tcMar>
            <w:vAlign w:val="center"/>
          </w:tcPr>
          <w:p w14:paraId="1146B426" w14:textId="74E2EB9C" w:rsidR="00DE3C3C" w:rsidRDefault="003C7DFB" w:rsidP="00535231">
            <w:pPr>
              <w:spacing w:after="0" w:line="240" w:lineRule="auto"/>
              <w:jc w:val="center"/>
              <w:rPr>
                <w:sz w:val="18"/>
                <w:szCs w:val="18"/>
              </w:rPr>
            </w:pPr>
            <w:r>
              <w:rPr>
                <w:sz w:val="18"/>
                <w:szCs w:val="18"/>
              </w:rPr>
              <w:t>16</w:t>
            </w:r>
            <w:r w:rsidR="009D2CAD">
              <w:rPr>
                <w:sz w:val="18"/>
                <w:szCs w:val="18"/>
              </w:rPr>
              <w:t>,</w:t>
            </w:r>
            <w:r>
              <w:rPr>
                <w:sz w:val="18"/>
                <w:szCs w:val="18"/>
              </w:rPr>
              <w:t>53%</w:t>
            </w:r>
          </w:p>
        </w:tc>
        <w:tc>
          <w:tcPr>
            <w:tcW w:w="2000" w:type="dxa"/>
            <w:tcMar>
              <w:top w:w="60" w:type="dxa"/>
              <w:left w:w="100" w:type="dxa"/>
              <w:bottom w:w="60" w:type="dxa"/>
              <w:right w:w="100" w:type="dxa"/>
            </w:tcMar>
            <w:vAlign w:val="center"/>
          </w:tcPr>
          <w:p w14:paraId="6079CE00" w14:textId="482A63F9" w:rsidR="00DE3C3C" w:rsidRDefault="003C7DFB" w:rsidP="00535231">
            <w:pPr>
              <w:spacing w:after="0" w:line="240" w:lineRule="auto"/>
              <w:jc w:val="center"/>
              <w:rPr>
                <w:sz w:val="18"/>
                <w:szCs w:val="18"/>
              </w:rPr>
            </w:pPr>
            <w:r>
              <w:rPr>
                <w:sz w:val="18"/>
                <w:szCs w:val="18"/>
              </w:rPr>
              <w:t>17</w:t>
            </w:r>
            <w:r w:rsidR="009D2CAD">
              <w:rPr>
                <w:sz w:val="18"/>
                <w:szCs w:val="18"/>
              </w:rPr>
              <w:t>,</w:t>
            </w:r>
            <w:r>
              <w:rPr>
                <w:sz w:val="18"/>
                <w:szCs w:val="18"/>
              </w:rPr>
              <w:t>11%</w:t>
            </w:r>
          </w:p>
        </w:tc>
        <w:tc>
          <w:tcPr>
            <w:tcW w:w="2040" w:type="dxa"/>
            <w:tcMar>
              <w:top w:w="60" w:type="dxa"/>
              <w:left w:w="100" w:type="dxa"/>
              <w:bottom w:w="60" w:type="dxa"/>
              <w:right w:w="100" w:type="dxa"/>
            </w:tcMar>
            <w:vAlign w:val="center"/>
          </w:tcPr>
          <w:p w14:paraId="3BE0B8AE" w14:textId="6A2FC05E" w:rsidR="00DE3C3C" w:rsidRDefault="003C7DFB" w:rsidP="00535231">
            <w:pPr>
              <w:spacing w:after="0" w:line="240" w:lineRule="auto"/>
              <w:jc w:val="center"/>
              <w:rPr>
                <w:sz w:val="18"/>
                <w:szCs w:val="18"/>
              </w:rPr>
            </w:pPr>
            <w:r>
              <w:rPr>
                <w:sz w:val="18"/>
                <w:szCs w:val="18"/>
              </w:rPr>
              <w:t>11</w:t>
            </w:r>
            <w:r w:rsidR="009D2CAD">
              <w:rPr>
                <w:sz w:val="18"/>
                <w:szCs w:val="18"/>
              </w:rPr>
              <w:t>,</w:t>
            </w:r>
            <w:r>
              <w:rPr>
                <w:sz w:val="18"/>
                <w:szCs w:val="18"/>
              </w:rPr>
              <w:t>86%</w:t>
            </w:r>
          </w:p>
        </w:tc>
      </w:tr>
      <w:tr w:rsidR="00DE3C3C" w14:paraId="5A734A3F" w14:textId="77777777">
        <w:trPr>
          <w:cantSplit/>
          <w:jc w:val="center"/>
        </w:trPr>
        <w:tc>
          <w:tcPr>
            <w:tcW w:w="2600" w:type="dxa"/>
            <w:tcMar>
              <w:top w:w="60" w:type="dxa"/>
              <w:left w:w="100" w:type="dxa"/>
              <w:bottom w:w="60" w:type="dxa"/>
              <w:right w:w="100" w:type="dxa"/>
            </w:tcMar>
            <w:vAlign w:val="center"/>
          </w:tcPr>
          <w:p w14:paraId="73EE26C7" w14:textId="77777777" w:rsidR="00DE3C3C" w:rsidRDefault="003C7DFB" w:rsidP="00535231">
            <w:pPr>
              <w:spacing w:after="0" w:line="240" w:lineRule="auto"/>
              <w:jc w:val="center"/>
              <w:rPr>
                <w:sz w:val="18"/>
                <w:szCs w:val="18"/>
              </w:rPr>
            </w:pPr>
            <w:proofErr w:type="spellStart"/>
            <w:r>
              <w:rPr>
                <w:sz w:val="18"/>
                <w:szCs w:val="18"/>
              </w:rPr>
              <w:t>Port</w:t>
            </w:r>
            <w:proofErr w:type="spellEnd"/>
            <w:r>
              <w:rPr>
                <w:sz w:val="18"/>
                <w:szCs w:val="18"/>
              </w:rPr>
              <w:t xml:space="preserve"> </w:t>
            </w:r>
            <w:proofErr w:type="spellStart"/>
            <w:r>
              <w:rPr>
                <w:sz w:val="18"/>
                <w:szCs w:val="18"/>
              </w:rPr>
              <w:t>Louis</w:t>
            </w:r>
            <w:proofErr w:type="spellEnd"/>
            <w:r>
              <w:rPr>
                <w:sz w:val="18"/>
                <w:szCs w:val="18"/>
              </w:rPr>
              <w:t>–</w:t>
            </w:r>
            <w:proofErr w:type="spellStart"/>
            <w:r>
              <w:rPr>
                <w:sz w:val="18"/>
                <w:szCs w:val="18"/>
              </w:rPr>
              <w:t>Banda</w:t>
            </w:r>
            <w:proofErr w:type="spellEnd"/>
            <w:r>
              <w:rPr>
                <w:sz w:val="18"/>
                <w:szCs w:val="18"/>
              </w:rPr>
              <w:t xml:space="preserve"> </w:t>
            </w:r>
            <w:proofErr w:type="spellStart"/>
            <w:r>
              <w:rPr>
                <w:sz w:val="18"/>
                <w:szCs w:val="18"/>
              </w:rPr>
              <w:t>Aceh</w:t>
            </w:r>
            <w:proofErr w:type="spellEnd"/>
          </w:p>
        </w:tc>
        <w:tc>
          <w:tcPr>
            <w:tcW w:w="2000" w:type="dxa"/>
            <w:tcMar>
              <w:top w:w="60" w:type="dxa"/>
              <w:left w:w="100" w:type="dxa"/>
              <w:bottom w:w="60" w:type="dxa"/>
              <w:right w:w="100" w:type="dxa"/>
            </w:tcMar>
            <w:vAlign w:val="center"/>
          </w:tcPr>
          <w:p w14:paraId="12529ABB" w14:textId="7DC24366" w:rsidR="00DE3C3C" w:rsidRDefault="003C7DFB" w:rsidP="00535231">
            <w:pPr>
              <w:spacing w:after="0" w:line="240" w:lineRule="auto"/>
              <w:jc w:val="center"/>
              <w:rPr>
                <w:sz w:val="18"/>
                <w:szCs w:val="18"/>
              </w:rPr>
            </w:pPr>
            <w:r>
              <w:rPr>
                <w:sz w:val="18"/>
                <w:szCs w:val="18"/>
              </w:rPr>
              <w:t>9</w:t>
            </w:r>
            <w:r w:rsidR="009D2CAD">
              <w:rPr>
                <w:sz w:val="18"/>
                <w:szCs w:val="18"/>
              </w:rPr>
              <w:t>,</w:t>
            </w:r>
            <w:r>
              <w:rPr>
                <w:sz w:val="18"/>
                <w:szCs w:val="18"/>
              </w:rPr>
              <w:t>40%</w:t>
            </w:r>
          </w:p>
        </w:tc>
        <w:tc>
          <w:tcPr>
            <w:tcW w:w="2000" w:type="dxa"/>
            <w:tcMar>
              <w:top w:w="60" w:type="dxa"/>
              <w:left w:w="100" w:type="dxa"/>
              <w:bottom w:w="60" w:type="dxa"/>
              <w:right w:w="100" w:type="dxa"/>
            </w:tcMar>
            <w:vAlign w:val="center"/>
          </w:tcPr>
          <w:p w14:paraId="0606A3EC" w14:textId="426D3571" w:rsidR="00DE3C3C" w:rsidRDefault="003C7DFB" w:rsidP="00535231">
            <w:pPr>
              <w:spacing w:after="0" w:line="240" w:lineRule="auto"/>
              <w:jc w:val="center"/>
              <w:rPr>
                <w:sz w:val="18"/>
                <w:szCs w:val="18"/>
              </w:rPr>
            </w:pPr>
            <w:r>
              <w:rPr>
                <w:sz w:val="18"/>
                <w:szCs w:val="18"/>
              </w:rPr>
              <w:t>6</w:t>
            </w:r>
            <w:r w:rsidR="009D2CAD">
              <w:rPr>
                <w:sz w:val="18"/>
                <w:szCs w:val="18"/>
              </w:rPr>
              <w:t>,</w:t>
            </w:r>
            <w:r>
              <w:rPr>
                <w:sz w:val="18"/>
                <w:szCs w:val="18"/>
              </w:rPr>
              <w:t>42%</w:t>
            </w:r>
          </w:p>
        </w:tc>
        <w:tc>
          <w:tcPr>
            <w:tcW w:w="2040" w:type="dxa"/>
            <w:tcMar>
              <w:top w:w="60" w:type="dxa"/>
              <w:left w:w="100" w:type="dxa"/>
              <w:bottom w:w="60" w:type="dxa"/>
              <w:right w:w="100" w:type="dxa"/>
            </w:tcMar>
            <w:vAlign w:val="center"/>
          </w:tcPr>
          <w:p w14:paraId="47CB39C0" w14:textId="33C11F4D" w:rsidR="00DE3C3C" w:rsidRDefault="003C7DFB" w:rsidP="00535231">
            <w:pPr>
              <w:spacing w:after="0" w:line="240" w:lineRule="auto"/>
              <w:jc w:val="center"/>
              <w:rPr>
                <w:sz w:val="18"/>
                <w:szCs w:val="18"/>
              </w:rPr>
            </w:pPr>
            <w:r>
              <w:rPr>
                <w:sz w:val="18"/>
                <w:szCs w:val="18"/>
              </w:rPr>
              <w:t>3</w:t>
            </w:r>
            <w:r w:rsidR="009D2CAD">
              <w:rPr>
                <w:sz w:val="18"/>
                <w:szCs w:val="18"/>
              </w:rPr>
              <w:t>,</w:t>
            </w:r>
            <w:r>
              <w:rPr>
                <w:sz w:val="18"/>
                <w:szCs w:val="18"/>
              </w:rPr>
              <w:t>19%</w:t>
            </w:r>
          </w:p>
        </w:tc>
      </w:tr>
    </w:tbl>
    <w:p w14:paraId="13F44861" w14:textId="74B9170D" w:rsidR="00DE3C3C" w:rsidRDefault="003C7DFB">
      <w:pPr>
        <w:spacing w:before="60" w:after="200" w:line="240" w:lineRule="auto"/>
        <w:jc w:val="both"/>
      </w:pPr>
      <w:r>
        <w:rPr>
          <w:i/>
          <w:iCs/>
          <w:sz w:val="18"/>
          <w:szCs w:val="18"/>
        </w:rPr>
        <w:t xml:space="preserve">Πηγή: </w:t>
      </w:r>
      <w:proofErr w:type="spellStart"/>
      <w:r>
        <w:rPr>
          <w:i/>
          <w:iCs/>
          <w:sz w:val="18"/>
          <w:szCs w:val="18"/>
        </w:rPr>
        <w:t>Zoi</w:t>
      </w:r>
      <w:proofErr w:type="spellEnd"/>
      <w:r>
        <w:rPr>
          <w:i/>
          <w:iCs/>
          <w:sz w:val="18"/>
          <w:szCs w:val="18"/>
        </w:rPr>
        <w:t xml:space="preserve"> [</w:t>
      </w:r>
      <w:r>
        <w:rPr>
          <w:i/>
          <w:iCs/>
          <w:sz w:val="18"/>
          <w:szCs w:val="18"/>
        </w:rPr>
        <w:fldChar w:fldCharType="begin"/>
      </w:r>
      <w:r>
        <w:rPr>
          <w:i/>
          <w:iCs/>
          <w:sz w:val="18"/>
          <w:szCs w:val="18"/>
        </w:rPr>
        <w:instrText xml:space="preserve"> REF _Ref_cit_38 \h \* MERGEFORMAT </w:instrText>
      </w:r>
      <w:r>
        <w:rPr>
          <w:i/>
          <w:iCs/>
          <w:sz w:val="18"/>
          <w:szCs w:val="18"/>
        </w:rPr>
      </w:r>
      <w:r>
        <w:rPr>
          <w:i/>
          <w:iCs/>
          <w:sz w:val="18"/>
          <w:szCs w:val="18"/>
        </w:rPr>
        <w:fldChar w:fldCharType="separate"/>
      </w:r>
      <w:r w:rsidR="00B0043E" w:rsidRPr="00B0043E">
        <w:rPr>
          <w:i/>
          <w:iCs/>
          <w:sz w:val="18"/>
          <w:szCs w:val="18"/>
        </w:rPr>
        <w:t>38</w:t>
      </w:r>
      <w:r>
        <w:rPr>
          <w:i/>
          <w:iCs/>
          <w:sz w:val="18"/>
          <w:szCs w:val="18"/>
        </w:rPr>
        <w:fldChar w:fldCharType="end"/>
      </w:r>
      <w:r>
        <w:rPr>
          <w:i/>
          <w:iCs/>
          <w:sz w:val="18"/>
          <w:szCs w:val="18"/>
        </w:rPr>
        <w:t>]. Η ανάλυση υποθέτει σταθερή ταχύτητα και δεν περιλαμβάνει δρομολόγηση με βάση τον καιρό. Οι τιμές αναπαράγονται όπως δημοσιεύθηκαν.</w:t>
      </w:r>
    </w:p>
    <w:p w14:paraId="1D895D86" w14:textId="77777777" w:rsidR="00DE3C3C" w:rsidRDefault="003C7DFB">
      <w:pPr>
        <w:pStyle w:val="30"/>
      </w:pPr>
      <w:bookmarkStart w:id="159" w:name="_Toc243355329"/>
      <w:r>
        <w:t>Επαλήθευση της επίδοσης</w:t>
      </w:r>
      <w:bookmarkEnd w:id="159"/>
    </w:p>
    <w:p w14:paraId="39D59E91" w14:textId="3A046ED6" w:rsidR="00DE3C3C" w:rsidRDefault="003C7DFB">
      <w:pPr>
        <w:spacing w:line="360" w:lineRule="auto"/>
        <w:ind w:firstLine="576"/>
        <w:jc w:val="both"/>
      </w:pPr>
      <w:r>
        <w:t xml:space="preserve">Μια δεύτερη απαίτηση είναι η δυνατότητα ανεξάρτητης επαλήθευσης της εξοικονόμησης που αποδίδεται σε ένα WAPS. Αυτό είναι δύσκολο, διότι η επίδραση του ανέμου είναι μικρή σε σύγκριση με τη μεταβλητότητα της κατάστασης της θάλασσας, της φόρτωσης, της ρύπανσης της γάστρας και των επιλογών του πληρώματος. Οι </w:t>
      </w:r>
      <w:proofErr w:type="spellStart"/>
      <w:r>
        <w:t>Kolodziejski</w:t>
      </w:r>
      <w:proofErr w:type="spellEnd"/>
      <w:r>
        <w:t xml:space="preserve"> και </w:t>
      </w:r>
      <w:proofErr w:type="spellStart"/>
      <w:r>
        <w:t>Sosnowski</w:t>
      </w:r>
      <w:proofErr w:type="spellEnd"/>
      <w:r>
        <w:t xml:space="preserve"> αναγνωρίζουν την απουσία ενός αποδεκτού προτύπου για την επικύρωση των ισχυρισμών επίδοσης, μαζί με τα κρυφά κόστη και την απροθυμία των προμηθευτών να μοιράζονται δεδομένα, ως βασικό εμπόδιο στην υιοθέτηση [</w:t>
      </w:r>
      <w:r>
        <w:fldChar w:fldCharType="begin"/>
      </w:r>
      <w:r>
        <w:instrText xml:space="preserve"> REF _Ref_cit_7 \h \* MERGEFORMAT </w:instrText>
      </w:r>
      <w:r>
        <w:fldChar w:fldCharType="separate"/>
      </w:r>
      <w:r w:rsidR="00B0043E" w:rsidRPr="00B0043E">
        <w:t>7</w:t>
      </w:r>
      <w:r>
        <w:fldChar w:fldCharType="end"/>
      </w:r>
      <w:r>
        <w:t xml:space="preserve">], ενώ η ίδια η επιβράβευση αιολικής ενέργειας του </w:t>
      </w:r>
      <w:proofErr w:type="spellStart"/>
      <w:r>
        <w:t>FuelEU</w:t>
      </w:r>
      <w:proofErr w:type="spellEnd"/>
      <w:r>
        <w:t xml:space="preserve"> εξαρτάται από την ύπαρξη επαληθεύσιμης μεθόδου παρακολούθησης [</w:t>
      </w:r>
      <w:r>
        <w:fldChar w:fldCharType="begin"/>
      </w:r>
      <w:r>
        <w:instrText xml:space="preserve"> REF _Ref_cit_7 \h \* MERGEFORMAT </w:instrText>
      </w:r>
      <w:r>
        <w:fldChar w:fldCharType="separate"/>
      </w:r>
      <w:r w:rsidR="00B0043E" w:rsidRPr="00B0043E">
        <w:t>7</w:t>
      </w:r>
      <w:r>
        <w:fldChar w:fldCharType="end"/>
      </w:r>
      <w:r>
        <w:t>], [</w:t>
      </w:r>
      <w:r>
        <w:fldChar w:fldCharType="begin"/>
      </w:r>
      <w:r>
        <w:instrText xml:space="preserve"> REF _Ref_cit_58 \h \* MERGEFORMAT </w:instrText>
      </w:r>
      <w:r>
        <w:fldChar w:fldCharType="separate"/>
      </w:r>
      <w:r w:rsidR="00B0043E" w:rsidRPr="00B0043E">
        <w:t>58</w:t>
      </w:r>
      <w:r>
        <w:fldChar w:fldCharType="end"/>
      </w:r>
      <w:r>
        <w:t xml:space="preserve">]. </w:t>
      </w:r>
      <w:r>
        <w:lastRenderedPageBreak/>
        <w:t xml:space="preserve">Σύμφωνα με τη </w:t>
      </w:r>
      <w:proofErr w:type="spellStart"/>
      <w:r>
        <w:t>Zoi</w:t>
      </w:r>
      <w:proofErr w:type="spellEnd"/>
      <w:r>
        <w:t xml:space="preserve"> [</w:t>
      </w:r>
      <w:r>
        <w:fldChar w:fldCharType="begin"/>
      </w:r>
      <w:r>
        <w:instrText xml:space="preserve"> REF _Ref_cit_38 \h \* MERGEFORMAT </w:instrText>
      </w:r>
      <w:r>
        <w:fldChar w:fldCharType="separate"/>
      </w:r>
      <w:r w:rsidR="00B0043E" w:rsidRPr="00B0043E">
        <w:t>38</w:t>
      </w:r>
      <w:r>
        <w:fldChar w:fldCharType="end"/>
      </w:r>
      <w:r>
        <w:t xml:space="preserve">], η ITTC έχει αναπτύξει μια διαδικασία για την αξιολόγηση της επίδοσης των WAPS σε πλήρη κλίμακα, η DNV έχει εκδώσει μια </w:t>
      </w:r>
      <w:proofErr w:type="spellStart"/>
      <w:r>
        <w:t>συνιστώμενη</w:t>
      </w:r>
      <w:proofErr w:type="spellEnd"/>
      <w:r>
        <w:t xml:space="preserve"> πρακτική για μακροχρόνιες δοκιμές εναλλαγής λειτουργίας και μη λειτουργίας (on/</w:t>
      </w:r>
      <w:proofErr w:type="spellStart"/>
      <w:r>
        <w:t>off</w:t>
      </w:r>
      <w:proofErr w:type="spellEnd"/>
      <w:r>
        <w:t xml:space="preserve">), ενώ το έργο </w:t>
      </w:r>
      <w:proofErr w:type="spellStart"/>
      <w:r>
        <w:t>Interreg</w:t>
      </w:r>
      <w:proofErr w:type="spellEnd"/>
      <w:r>
        <w:t xml:space="preserve"> WASP (5.4 εκατομμύρια</w:t>
      </w:r>
      <w:r w:rsidR="00AC7789">
        <w:t xml:space="preserve"> EUR</w:t>
      </w:r>
      <w:r>
        <w:t>, πέντε πλοία) αναπτύσσει μεθόδου</w:t>
      </w:r>
      <w:r w:rsidR="00AC7789">
        <w:t>ς</w:t>
      </w:r>
      <w:r>
        <w:t xml:space="preserve"> επαλήθευσης σε συνεργασία με νηογνώμονες. Επαληθευμένα αποτελέσματα υπάρχουν για λίγα πλοία: οι </w:t>
      </w:r>
      <w:proofErr w:type="spellStart"/>
      <w:r>
        <w:t>ρότορες</w:t>
      </w:r>
      <w:proofErr w:type="spellEnd"/>
      <w:r>
        <w:t xml:space="preserve"> </w:t>
      </w:r>
      <w:proofErr w:type="spellStart"/>
      <w:r>
        <w:t>Anemoi</w:t>
      </w:r>
      <w:proofErr w:type="spellEnd"/>
      <w:r>
        <w:t xml:space="preserve"> του TR </w:t>
      </w:r>
      <w:proofErr w:type="spellStart"/>
      <w:r>
        <w:t>Lady</w:t>
      </w:r>
      <w:proofErr w:type="spellEnd"/>
      <w:r>
        <w:t xml:space="preserve"> επαληθεύτηκαν από τον </w:t>
      </w:r>
      <w:proofErr w:type="spellStart"/>
      <w:r>
        <w:t>Lloyd’s</w:t>
      </w:r>
      <w:proofErr w:type="spellEnd"/>
      <w:r>
        <w:t xml:space="preserve"> </w:t>
      </w:r>
      <w:proofErr w:type="spellStart"/>
      <w:r>
        <w:t>Register</w:t>
      </w:r>
      <w:proofErr w:type="spellEnd"/>
      <w:r>
        <w:t xml:space="preserve"> με μέση εξοικονόμηση 1</w:t>
      </w:r>
      <w:r w:rsidR="00AC7789">
        <w:t>,</w:t>
      </w:r>
      <w:r>
        <w:t>9 τόνων καυσίμου ημερησίως (περίπου 9</w:t>
      </w:r>
      <w:r w:rsidR="00AC7789">
        <w:t>,</w:t>
      </w:r>
      <w:r>
        <w:t xml:space="preserve">1%, με αιχμές 21%), και οι τρεις πτέρυγες </w:t>
      </w:r>
      <w:proofErr w:type="spellStart"/>
      <w:r>
        <w:t>eSAIL</w:t>
      </w:r>
      <w:proofErr w:type="spellEnd"/>
      <w:r>
        <w:t xml:space="preserve"> του </w:t>
      </w:r>
      <w:proofErr w:type="spellStart"/>
      <w:r>
        <w:t>Ville</w:t>
      </w:r>
      <w:proofErr w:type="spellEnd"/>
      <w:r>
        <w:t xml:space="preserve"> de </w:t>
      </w:r>
      <w:proofErr w:type="spellStart"/>
      <w:r>
        <w:t>Bordeaux</w:t>
      </w:r>
      <w:proofErr w:type="spellEnd"/>
      <w:r>
        <w:t xml:space="preserve"> από το </w:t>
      </w:r>
      <w:proofErr w:type="spellStart"/>
      <w:r>
        <w:t>Bureau</w:t>
      </w:r>
      <w:proofErr w:type="spellEnd"/>
      <w:r>
        <w:t xml:space="preserve"> </w:t>
      </w:r>
      <w:proofErr w:type="spellStart"/>
      <w:r>
        <w:t>Veritas</w:t>
      </w:r>
      <w:proofErr w:type="spellEnd"/>
      <w:r>
        <w:t xml:space="preserve"> με 1</w:t>
      </w:r>
      <w:r w:rsidR="00AC7789">
        <w:t>,</w:t>
      </w:r>
      <w:r>
        <w:t>7 τόνους ημερησίως, ή 568 τόνους ετησίως [</w:t>
      </w:r>
      <w:r>
        <w:fldChar w:fldCharType="begin"/>
      </w:r>
      <w:r>
        <w:instrText xml:space="preserve"> REF _Ref_cit_38 \h \* MERGEFORMAT </w:instrText>
      </w:r>
      <w:r>
        <w:fldChar w:fldCharType="separate"/>
      </w:r>
      <w:r w:rsidR="00B0043E" w:rsidRPr="00B0043E">
        <w:t>38</w:t>
      </w:r>
      <w:r>
        <w:fldChar w:fldCharType="end"/>
      </w:r>
      <w:r>
        <w:t xml:space="preserve">]. Μόνο τα επαληθευμένα στοιχεία μπορούν να στηρίξουν μια αξίωση επιβράβευσης αιολικής ενέργειας στο πλαίσιο του </w:t>
      </w:r>
      <w:proofErr w:type="spellStart"/>
      <w:r>
        <w:t>FuelEU</w:t>
      </w:r>
      <w:proofErr w:type="spellEnd"/>
      <w:r>
        <w:t xml:space="preserve"> ή μια απόφαση χρηματοδότησης, ενώ τα στοιχεία των κατασκευαστών και των διαχειριστών, που κυριαρχούν στη βιβλιογραφία, πρέπει να θεωρούνται ενδεικτικά.</w:t>
      </w:r>
    </w:p>
    <w:p w14:paraId="5331060E" w14:textId="77777777" w:rsidR="00DE3C3C" w:rsidRDefault="003C7DFB">
      <w:pPr>
        <w:pStyle w:val="30"/>
      </w:pPr>
      <w:bookmarkStart w:id="160" w:name="_Toc243355330"/>
      <w:r>
        <w:t>Κανόνες των νηογνωμόνων και ανοιχτά κανονιστικά ζητήματα</w:t>
      </w:r>
      <w:bookmarkEnd w:id="160"/>
    </w:p>
    <w:p w14:paraId="1AC217B6" w14:textId="2B704378" w:rsidR="00DE3C3C" w:rsidRDefault="003C7DFB">
      <w:pPr>
        <w:spacing w:line="360" w:lineRule="auto"/>
        <w:ind w:firstLine="576"/>
        <w:jc w:val="both"/>
      </w:pPr>
      <w:r>
        <w:t xml:space="preserve">Οι νηογνώμονες έχουν δημοσιεύσει κανόνες για τον σχεδιασμό και την εγκατάσταση των WAPS, όμως οι </w:t>
      </w:r>
      <w:proofErr w:type="spellStart"/>
      <w:r>
        <w:t>Zhang</w:t>
      </w:r>
      <w:proofErr w:type="spellEnd"/>
      <w:r>
        <w:t xml:space="preserve"> </w:t>
      </w:r>
      <w:proofErr w:type="spellStart"/>
      <w:r>
        <w:t>et</w:t>
      </w:r>
      <w:proofErr w:type="spellEnd"/>
      <w:r>
        <w:t xml:space="preserve"> </w:t>
      </w:r>
      <w:proofErr w:type="spellStart"/>
      <w:r>
        <w:t>al</w:t>
      </w:r>
      <w:proofErr w:type="spellEnd"/>
      <w:r>
        <w:t>. παρατηρούν ότι τα πρότυπα αυτά έχουν γενικό χαρακτήρα, στερούνται διατάξεων ειδικών για κάθε τύπο WAPS και δεν καλύπτουν καθόλου τα συστήματα χαρταετού [</w:t>
      </w:r>
      <w:r>
        <w:fldChar w:fldCharType="begin"/>
      </w:r>
      <w:r>
        <w:instrText xml:space="preserve"> REF _Ref_cit_28 \h \* MERGEFORMAT </w:instrText>
      </w:r>
      <w:r>
        <w:fldChar w:fldCharType="separate"/>
      </w:r>
      <w:r w:rsidR="00B0043E" w:rsidRPr="00B0043E">
        <w:t>28</w:t>
      </w:r>
      <w:r>
        <w:fldChar w:fldCharType="end"/>
      </w:r>
      <w:r>
        <w:t xml:space="preserve">]. Η </w:t>
      </w:r>
      <w:proofErr w:type="spellStart"/>
      <w:r>
        <w:t>Zoi</w:t>
      </w:r>
      <w:proofErr w:type="spellEnd"/>
      <w:r>
        <w:t xml:space="preserve"> εντοπίζει μια σειρά κανονιστικών ζητημάτων που δεν έχουν επιλυθεί για τα πλοία που είναι εξοπλισμένα με WAPS [</w:t>
      </w:r>
      <w:r>
        <w:fldChar w:fldCharType="begin"/>
      </w:r>
      <w:r>
        <w:instrText xml:space="preserve"> REF _Ref_cit_38 \h \* MERGEFORMAT </w:instrText>
      </w:r>
      <w:r>
        <w:fldChar w:fldCharType="separate"/>
      </w:r>
      <w:r w:rsidR="00B0043E" w:rsidRPr="00B0043E">
        <w:t>38</w:t>
      </w:r>
      <w:r>
        <w:fldChar w:fldCharType="end"/>
      </w:r>
      <w:r>
        <w:t>]. Το πρώτο αφορά την ευστάθεια πλοίου</w:t>
      </w:r>
      <w:r w:rsidR="002C2930">
        <w:t xml:space="preserve"> χωρίς μετατροπές</w:t>
      </w:r>
      <w:r>
        <w:t xml:space="preserve">, διότι η ροπή κλίσης που προκαλούν οι αιολικές δυνάμεις στα ιστία πρέπει να συμπεριλαμβάνεται στα κριτήρια ευστάθειας. Το δεύτερο αφορά την ικανότητα ελιγμών, για την οποία τα πρότυπα του IMO του ψηφίσματος MSC.137(76) συντάχθηκαν για πλοία χωρίς σημαντικές αεροδυναμικές δυνάμεις πάνω από την ίσαλο. Το τρίτο αφορά την ελάχιστη ισχύ πρόωσης που πρέπει να διαθέτει ένα πλοίο για ασφαλή λειτουργία σε δυσμενείς συνθήκες, καθώς δεν είναι σαφές αν η ώση των WAPS μπορεί να </w:t>
      </w:r>
      <w:proofErr w:type="spellStart"/>
      <w:r>
        <w:t>προσμετρηθεί</w:t>
      </w:r>
      <w:proofErr w:type="spellEnd"/>
      <w:r>
        <w:t xml:space="preserve"> σε αυτήν ή αν πρέπει να αντισταθμιστεί η πρόσθετη επιφάνεια έκθεσης των ιστίων στον άνεμο. Το τέταρτο αφορά την ορατότητα από τη γέφυρα που απαιτείται από τον κανονισμό V/22 της SOLAS, την οποία μεγάλοι </w:t>
      </w:r>
      <w:proofErr w:type="spellStart"/>
      <w:r>
        <w:t>ρότορες</w:t>
      </w:r>
      <w:proofErr w:type="spellEnd"/>
      <w:r>
        <w:t xml:space="preserve"> ή ιστία ενδέχεται να εμποδίζουν. Τα ζητήματα αυτά δεν αποτελούν εμπόδια για την τεχνολογία, όπως δείχνουν τα πλοία που ήδη λειτουργούν, προσθέτουν όμως μηχανολογικό φόρτο και φόρτο έγκρισης σε κάθε έργο, και το κόστος αυτό αποτελεί μέρος αυτού που η βιβλιογραφία αποκαλεί κρυφό κόστος. Για τους σκοπούς της οικονομικής ανάλυσης, η </w:t>
      </w:r>
      <w:r>
        <w:lastRenderedPageBreak/>
        <w:t>πρακτική συνέπεια είναι ότι η κανονιστική αντιμετώπιση των WAPS είναι πιθανό να αποσαφηνιστεί καθώς αυξάνεται ο αριθμός των πλοίων σε λειτουργία, και ότι οι παραδοχές που γίνονται σήμερα για την αναγνώριση της συμβολής του ανέμου πρέπει να θεωρούνται προσωρινές.</w:t>
      </w:r>
    </w:p>
    <w:p w14:paraId="231465AE" w14:textId="1CFB9377" w:rsidR="00DE3C3C" w:rsidRDefault="003C7DFB">
      <w:pPr>
        <w:pStyle w:val="20"/>
      </w:pPr>
      <w:bookmarkStart w:id="161" w:name="_Toc243355331"/>
      <w:r>
        <w:t>Κατάσταση της αγοράς και επίδοση των WAPS</w:t>
      </w:r>
      <w:bookmarkEnd w:id="161"/>
    </w:p>
    <w:p w14:paraId="608D7F67" w14:textId="160D7920" w:rsidR="00DE3C3C" w:rsidRDefault="003C7DFB">
      <w:pPr>
        <w:spacing w:line="360" w:lineRule="auto"/>
        <w:ind w:firstLine="576"/>
        <w:jc w:val="both"/>
      </w:pPr>
      <w:r>
        <w:t xml:space="preserve">Η κανονιστική αξία που συζητήθηκε παραπάνω είναι ανάλογη του καυσίμου που πράγματι εξοικονομεί ένα WAPS, και η αξιοπιστία κάθε οικονομικής αξιολόγησης εξαρτάται επομένως από τα στοιχεία που τεκμηριώνουν αυτή την εξοικονόμηση. Η ενότητα αυτή συνοψίζει τα στοιχεία για την ωριμότητα των τεχνολογιών και το μέγεθος της αγοράς και συγκρίνει την εξοικονόμηση που έχει μετρηθεί σε πλοία σε λειτουργία με την εξοικονόμηση που προβλέπεται από προσομοιώσεις. Βασίζεται στις επισκοπήσεις των </w:t>
      </w:r>
      <w:proofErr w:type="spellStart"/>
      <w:r>
        <w:t>Zhang</w:t>
      </w:r>
      <w:proofErr w:type="spellEnd"/>
      <w:r>
        <w:t xml:space="preserve"> </w:t>
      </w:r>
      <w:proofErr w:type="spellStart"/>
      <w:r>
        <w:t>et</w:t>
      </w:r>
      <w:proofErr w:type="spellEnd"/>
      <w:r>
        <w:t xml:space="preserve"> </w:t>
      </w:r>
      <w:proofErr w:type="spellStart"/>
      <w:r>
        <w:t>al</w:t>
      </w:r>
      <w:proofErr w:type="spellEnd"/>
      <w:r>
        <w:t>. [</w:t>
      </w:r>
      <w:r>
        <w:fldChar w:fldCharType="begin"/>
      </w:r>
      <w:r>
        <w:instrText xml:space="preserve"> REF _Ref_cit_28 \h \* MERGEFORMAT </w:instrText>
      </w:r>
      <w:r>
        <w:fldChar w:fldCharType="separate"/>
      </w:r>
      <w:r w:rsidR="00B0043E" w:rsidRPr="00B0043E">
        <w:t>28</w:t>
      </w:r>
      <w:r>
        <w:fldChar w:fldCharType="end"/>
      </w:r>
      <w:r>
        <w:t xml:space="preserve">], </w:t>
      </w:r>
      <w:proofErr w:type="spellStart"/>
      <w:r>
        <w:t>Kolodziejski</w:t>
      </w:r>
      <w:proofErr w:type="spellEnd"/>
      <w:r>
        <w:t xml:space="preserve"> και </w:t>
      </w:r>
      <w:proofErr w:type="spellStart"/>
      <w:r>
        <w:t>Sosnowski</w:t>
      </w:r>
      <w:proofErr w:type="spellEnd"/>
      <w:r>
        <w:t xml:space="preserve"> [</w:t>
      </w:r>
      <w:r>
        <w:fldChar w:fldCharType="begin"/>
      </w:r>
      <w:r>
        <w:instrText xml:space="preserve"> REF _Ref_cit_7 \h \* MERGEFORMAT </w:instrText>
      </w:r>
      <w:r>
        <w:fldChar w:fldCharType="separate"/>
      </w:r>
      <w:r w:rsidR="00B0043E" w:rsidRPr="00B0043E">
        <w:t>7</w:t>
      </w:r>
      <w:r>
        <w:fldChar w:fldCharType="end"/>
      </w:r>
      <w:r>
        <w:t xml:space="preserve">] και </w:t>
      </w:r>
      <w:proofErr w:type="spellStart"/>
      <w:r>
        <w:t>Gaul</w:t>
      </w:r>
      <w:proofErr w:type="spellEnd"/>
      <w:r>
        <w:t xml:space="preserve"> και </w:t>
      </w:r>
      <w:proofErr w:type="spellStart"/>
      <w:r>
        <w:t>Rutkowski</w:t>
      </w:r>
      <w:proofErr w:type="spellEnd"/>
      <w:r>
        <w:t xml:space="preserve"> [</w:t>
      </w:r>
      <w:r>
        <w:fldChar w:fldCharType="begin"/>
      </w:r>
      <w:r>
        <w:instrText xml:space="preserve"> REF _Ref_cit_42 \h \* MERGEFORMAT </w:instrText>
      </w:r>
      <w:r>
        <w:fldChar w:fldCharType="separate"/>
      </w:r>
      <w:r w:rsidR="00B0043E" w:rsidRPr="00B0043E">
        <w:t>42</w:t>
      </w:r>
      <w:r>
        <w:fldChar w:fldCharType="end"/>
      </w:r>
      <w:r>
        <w:t xml:space="preserve">], στη μελέτη προσομοίωσης των </w:t>
      </w:r>
      <w:proofErr w:type="spellStart"/>
      <w:r>
        <w:t>Lu</w:t>
      </w:r>
      <w:proofErr w:type="spellEnd"/>
      <w:r>
        <w:t xml:space="preserve"> και </w:t>
      </w:r>
      <w:proofErr w:type="spellStart"/>
      <w:r>
        <w:t>Ringsberg</w:t>
      </w:r>
      <w:proofErr w:type="spellEnd"/>
      <w:r>
        <w:t xml:space="preserve"> [</w:t>
      </w:r>
      <w:r>
        <w:fldChar w:fldCharType="begin"/>
      </w:r>
      <w:r>
        <w:instrText xml:space="preserve"> REF _Ref_cit_8 \h \* MERGEFORMAT </w:instrText>
      </w:r>
      <w:r>
        <w:fldChar w:fldCharType="separate"/>
      </w:r>
      <w:r w:rsidR="00B0043E" w:rsidRPr="00B0043E">
        <w:t>8</w:t>
      </w:r>
      <w:r>
        <w:fldChar w:fldCharType="end"/>
      </w:r>
      <w:r>
        <w:t xml:space="preserve">], καθώς και στις μελέτες περίπτωσης της </w:t>
      </w:r>
      <w:proofErr w:type="spellStart"/>
      <w:r>
        <w:t>Zoi</w:t>
      </w:r>
      <w:proofErr w:type="spellEnd"/>
      <w:r>
        <w:t xml:space="preserve"> [</w:t>
      </w:r>
      <w:r>
        <w:fldChar w:fldCharType="begin"/>
      </w:r>
      <w:r>
        <w:instrText xml:space="preserve"> REF _Ref_cit_38 \h \* MERGEFORMAT </w:instrText>
      </w:r>
      <w:r>
        <w:fldChar w:fldCharType="separate"/>
      </w:r>
      <w:r w:rsidR="00B0043E" w:rsidRPr="00B0043E">
        <w:t>38</w:t>
      </w:r>
      <w:r>
        <w:fldChar w:fldCharType="end"/>
      </w:r>
      <w:r>
        <w:t xml:space="preserve">] και της </w:t>
      </w:r>
      <w:proofErr w:type="spellStart"/>
      <w:r>
        <w:t>Stathopoulou</w:t>
      </w:r>
      <w:proofErr w:type="spellEnd"/>
      <w:r>
        <w:t xml:space="preserve"> [</w:t>
      </w:r>
      <w:r>
        <w:fldChar w:fldCharType="begin"/>
      </w:r>
      <w:r>
        <w:instrText xml:space="preserve"> REF _Ref_cit_63 \h \* MERGEFORMAT </w:instrText>
      </w:r>
      <w:r>
        <w:fldChar w:fldCharType="separate"/>
      </w:r>
      <w:r w:rsidR="00B0043E" w:rsidRPr="00B0043E">
        <w:t>63</w:t>
      </w:r>
      <w:r>
        <w:fldChar w:fldCharType="end"/>
      </w:r>
      <w:r>
        <w:t xml:space="preserve">], η τελευταία από τις οποίες αποτελεί αξιολόγηση με βάση τη διαδρομή μιας εγκατάστασης </w:t>
      </w:r>
      <w:proofErr w:type="spellStart"/>
      <w:r>
        <w:t>ροτόρων</w:t>
      </w:r>
      <w:proofErr w:type="spellEnd"/>
      <w:r>
        <w:t xml:space="preserve"> σε φορτηγό πλοίο χύδην ξηρού φορτίου, που εκπονήθηκε στο Εθνικό Μετσόβιο Πολυτεχνείο.</w:t>
      </w:r>
    </w:p>
    <w:p w14:paraId="2F5D7F4A" w14:textId="77777777" w:rsidR="00DE3C3C" w:rsidRDefault="003C7DFB">
      <w:pPr>
        <w:pStyle w:val="30"/>
      </w:pPr>
      <w:bookmarkStart w:id="162" w:name="_Toc243355332"/>
      <w:r>
        <w:t>Τεχνολογίες και ωριμότητά τους</w:t>
      </w:r>
      <w:bookmarkEnd w:id="162"/>
    </w:p>
    <w:p w14:paraId="30E910CD" w14:textId="77D499C1" w:rsidR="00DE3C3C" w:rsidRDefault="003C7DFB">
      <w:pPr>
        <w:spacing w:line="360" w:lineRule="auto"/>
        <w:ind w:firstLine="576"/>
        <w:jc w:val="both"/>
      </w:pPr>
      <w:r>
        <w:t xml:space="preserve">Οι </w:t>
      </w:r>
      <w:proofErr w:type="spellStart"/>
      <w:r>
        <w:t>Zhang</w:t>
      </w:r>
      <w:proofErr w:type="spellEnd"/>
      <w:r>
        <w:t xml:space="preserve"> </w:t>
      </w:r>
      <w:proofErr w:type="spellStart"/>
      <w:r>
        <w:t>et</w:t>
      </w:r>
      <w:proofErr w:type="spellEnd"/>
      <w:r>
        <w:t xml:space="preserve"> </w:t>
      </w:r>
      <w:proofErr w:type="spellStart"/>
      <w:r>
        <w:t>al</w:t>
      </w:r>
      <w:proofErr w:type="spellEnd"/>
      <w:r>
        <w:t>. κατατάσσουν την αιολική υποβοήθηση της πρόωσης σε τέσσερις οικογένειες, δηλαδή τα ιστία-</w:t>
      </w:r>
      <w:proofErr w:type="spellStart"/>
      <w:r>
        <w:t>ρότορες</w:t>
      </w:r>
      <w:proofErr w:type="spellEnd"/>
      <w:r>
        <w:t xml:space="preserve">, τα ιστία ελέγχου οριακού στρώματος (γνωστά και ως πτέρυγες αναρρόφησης ή </w:t>
      </w:r>
      <w:proofErr w:type="spellStart"/>
      <w:r>
        <w:t>turbosails</w:t>
      </w:r>
      <w:proofErr w:type="spellEnd"/>
      <w:r>
        <w:t xml:space="preserve">), τα </w:t>
      </w:r>
      <w:r w:rsidR="00D4718C">
        <w:t>άκαμπτα</w:t>
      </w:r>
      <w:r>
        <w:t xml:space="preserve"> ιστία, </w:t>
      </w:r>
      <w:r w:rsidR="009E2D53">
        <w:t>ή μαλακά σε σχήμα πτερυγίου (</w:t>
      </w:r>
      <w:r w:rsidR="009E2D53">
        <w:rPr>
          <w:lang w:val="en-US"/>
        </w:rPr>
        <w:t>soft</w:t>
      </w:r>
      <w:r w:rsidR="009E2D53" w:rsidRPr="009E2D53">
        <w:t xml:space="preserve"> </w:t>
      </w:r>
      <w:r w:rsidR="009E2D53">
        <w:rPr>
          <w:lang w:val="en-US"/>
        </w:rPr>
        <w:t>sails</w:t>
      </w:r>
      <w:r w:rsidR="009E2D53" w:rsidRPr="009E2D53">
        <w:t>)</w:t>
      </w:r>
      <w:r>
        <w:t xml:space="preserve">, και τα ιστία-χαρταετούς, και συσχετίζουν την κατάταξη αυτή με εκείνες του EMSA, του </w:t>
      </w:r>
      <w:proofErr w:type="spellStart"/>
      <w:r>
        <w:t>Lloyd’s</w:t>
      </w:r>
      <w:proofErr w:type="spellEnd"/>
      <w:r>
        <w:t xml:space="preserve"> </w:t>
      </w:r>
      <w:proofErr w:type="spellStart"/>
      <w:r>
        <w:t>Register</w:t>
      </w:r>
      <w:proofErr w:type="spellEnd"/>
      <w:r>
        <w:t>, της DNV και του ABS [</w:t>
      </w:r>
      <w:r>
        <w:fldChar w:fldCharType="begin"/>
      </w:r>
      <w:r>
        <w:instrText xml:space="preserve"> REF _Ref_cit_28 \h \* MERGEFORMAT </w:instrText>
      </w:r>
      <w:r>
        <w:fldChar w:fldCharType="separate"/>
      </w:r>
      <w:r w:rsidR="00B0043E" w:rsidRPr="00B0043E">
        <w:t>28</w:t>
      </w:r>
      <w:r>
        <w:fldChar w:fldCharType="end"/>
      </w:r>
      <w:r>
        <w:t>]. Τα ιστία-</w:t>
      </w:r>
      <w:proofErr w:type="spellStart"/>
      <w:r>
        <w:t>ρότορες</w:t>
      </w:r>
      <w:proofErr w:type="spellEnd"/>
      <w:r>
        <w:t xml:space="preserve">, οι πτέρυγες αναρρόφησης και τα </w:t>
      </w:r>
      <w:r w:rsidR="009E2D53">
        <w:t>άκαμπτα</w:t>
      </w:r>
      <w:r>
        <w:t xml:space="preserve"> ιστία αξιολογούνται σε επίπεδο τεχνολογικής ετοιμότητας (</w:t>
      </w:r>
      <w:proofErr w:type="spellStart"/>
      <w:r>
        <w:t>technology</w:t>
      </w:r>
      <w:proofErr w:type="spellEnd"/>
      <w:r>
        <w:t xml:space="preserve"> </w:t>
      </w:r>
      <w:proofErr w:type="spellStart"/>
      <w:r>
        <w:t>readiness</w:t>
      </w:r>
      <w:proofErr w:type="spellEnd"/>
      <w:r>
        <w:t xml:space="preserve"> </w:t>
      </w:r>
      <w:proofErr w:type="spellStart"/>
      <w:r>
        <w:t>level</w:t>
      </w:r>
      <w:proofErr w:type="spellEnd"/>
      <w:r>
        <w:t>, TRL) 9, δηλαδή βρίσκονται σε εμπορική λειτουργία, ενώ τα συστήματα χαρταετού βρίσκονται σε TRL 3 έως 7, με μόνο μία ή δύο πρωτότυπες εγκαταστάσεις [</w:t>
      </w:r>
      <w:r>
        <w:fldChar w:fldCharType="begin"/>
      </w:r>
      <w:r>
        <w:instrText xml:space="preserve"> REF _Ref_cit_28 \h \* MERGEFORMAT </w:instrText>
      </w:r>
      <w:r>
        <w:fldChar w:fldCharType="separate"/>
      </w:r>
      <w:r w:rsidR="00B0043E" w:rsidRPr="00B0043E">
        <w:t>28</w:t>
      </w:r>
      <w:r>
        <w:fldChar w:fldCharType="end"/>
      </w:r>
      <w:r>
        <w:t>]. Μεταξύ των εμπορικών συστημάτων, τα ιστία-</w:t>
      </w:r>
      <w:proofErr w:type="spellStart"/>
      <w:r>
        <w:t>ρότορες</w:t>
      </w:r>
      <w:proofErr w:type="spellEnd"/>
      <w:r>
        <w:t xml:space="preserve"> και οι πτέρυγες αναρρόφησης κυριαρχούν στην αγορά, τα </w:t>
      </w:r>
      <w:r w:rsidR="00A72FAA">
        <w:t>άκαμπτα</w:t>
      </w:r>
      <w:r>
        <w:t xml:space="preserve"> ιστία παραμένουν μικρότερο τμήμα της, ενώ οι πτέρυγες αναρρόφησης, που εισήλθαν αργότερα στην αγορά, αναπτύσσονται ταχέως, επειδή ο υψηλός συντελεστής </w:t>
      </w:r>
      <w:proofErr w:type="spellStart"/>
      <w:r>
        <w:t>άντωσής</w:t>
      </w:r>
      <w:proofErr w:type="spellEnd"/>
      <w:r>
        <w:t xml:space="preserve"> τους επιτρέπει μικρότερες και ελαφρύτερες μονάδες· για ένα ιστίο ελέγχου οριακού στρώματος έχει αναφερθεί μέγιστος συντελεστής </w:t>
      </w:r>
      <w:proofErr w:type="spellStart"/>
      <w:r>
        <w:t>άντωσης</w:t>
      </w:r>
      <w:proofErr w:type="spellEnd"/>
      <w:r>
        <w:t xml:space="preserve"> 8</w:t>
      </w:r>
      <w:r w:rsidR="00A72FAA">
        <w:t>,</w:t>
      </w:r>
      <w:r>
        <w:t>3, επικυρωμένος από την DNV [</w:t>
      </w:r>
      <w:r>
        <w:fldChar w:fldCharType="begin"/>
      </w:r>
      <w:r>
        <w:instrText xml:space="preserve"> REF _Ref_cit_28 \h \* MERGEFORMAT </w:instrText>
      </w:r>
      <w:r>
        <w:fldChar w:fldCharType="separate"/>
      </w:r>
      <w:r w:rsidR="00B0043E" w:rsidRPr="00B0043E">
        <w:t>28</w:t>
      </w:r>
      <w:r>
        <w:fldChar w:fldCharType="end"/>
      </w:r>
      <w:r>
        <w:t>], [</w:t>
      </w:r>
      <w:r>
        <w:fldChar w:fldCharType="begin"/>
      </w:r>
      <w:r>
        <w:instrText xml:space="preserve"> REF _Ref_cit_41 \h \* MERGEFORMAT </w:instrText>
      </w:r>
      <w:r>
        <w:fldChar w:fldCharType="separate"/>
      </w:r>
      <w:r w:rsidR="00B0043E" w:rsidRPr="00B0043E">
        <w:t>41</w:t>
      </w:r>
      <w:r>
        <w:fldChar w:fldCharType="end"/>
      </w:r>
      <w:r>
        <w:t xml:space="preserve">]. Η περιγραφή της </w:t>
      </w:r>
      <w:proofErr w:type="spellStart"/>
      <w:r>
        <w:t>Odfjell</w:t>
      </w:r>
      <w:proofErr w:type="spellEnd"/>
      <w:r>
        <w:t xml:space="preserve"> για το </w:t>
      </w:r>
      <w:proofErr w:type="spellStart"/>
      <w:r>
        <w:t>eSAIL</w:t>
      </w:r>
      <w:proofErr w:type="spellEnd"/>
      <w:r>
        <w:t xml:space="preserve"> που εγκαταστάθηκε στο </w:t>
      </w:r>
      <w:r>
        <w:lastRenderedPageBreak/>
        <w:t xml:space="preserve">δεξαμενόπλοιο χημικών </w:t>
      </w:r>
      <w:proofErr w:type="spellStart"/>
      <w:r>
        <w:t>Bow</w:t>
      </w:r>
      <w:proofErr w:type="spellEnd"/>
      <w:r>
        <w:t xml:space="preserve"> </w:t>
      </w:r>
      <w:proofErr w:type="spellStart"/>
      <w:r>
        <w:t>Olympus</w:t>
      </w:r>
      <w:proofErr w:type="spellEnd"/>
      <w:r>
        <w:t xml:space="preserve"> το 2025 αναφέρει ότι η διάταξη μπορεί να παράγει έως και επτά φορές την </w:t>
      </w:r>
      <w:proofErr w:type="spellStart"/>
      <w:r>
        <w:t>άντωση</w:t>
      </w:r>
      <w:proofErr w:type="spellEnd"/>
      <w:r>
        <w:t xml:space="preserve"> ενός συμβατικού ιστίου ίδιας επιφάνειας, ώστε μπορεί να είναι έξι έως επτά φορές μικρότερη [</w:t>
      </w:r>
      <w:r>
        <w:fldChar w:fldCharType="begin"/>
      </w:r>
      <w:r>
        <w:instrText xml:space="preserve"> REF _Ref_cit_41 \h \* MERGEFORMAT </w:instrText>
      </w:r>
      <w:r>
        <w:fldChar w:fldCharType="separate"/>
      </w:r>
      <w:r w:rsidR="00B0043E" w:rsidRPr="00B0043E">
        <w:t>41</w:t>
      </w:r>
      <w:r>
        <w:fldChar w:fldCharType="end"/>
      </w:r>
      <w:r>
        <w:t xml:space="preserve">]. Τα συστήματα χαρταετού της </w:t>
      </w:r>
      <w:proofErr w:type="spellStart"/>
      <w:r>
        <w:t>SkySails</w:t>
      </w:r>
      <w:proofErr w:type="spellEnd"/>
      <w:r>
        <w:t>, η πιο γνωστή περίπτωση, χρησιμοποιήθηκαν εμπορικά μεταξύ 2004 και 2012 με χαρταετούς έως 400 m², οι οποίοι αντικαθιστούσαν έως 2 MW ισχύος της μηχανής, όμως η εταιρεία δεν διαθέτει πλέον χαρταετούς για πλοία και έχει στρέψει τις δραστηριότητές της στην αερομεταφερόμενη αιολική ενέργεια</w:t>
      </w:r>
      <w:r w:rsidR="003C2F22">
        <w:t xml:space="preserve"> (παραγωγή ηλεκτρικής εν</w:t>
      </w:r>
      <w:r w:rsidR="005411D3">
        <w:t xml:space="preserve">έργειας με χαρταετούς ή </w:t>
      </w:r>
      <w:r w:rsidR="005411D3">
        <w:rPr>
          <w:lang w:val="en-US"/>
        </w:rPr>
        <w:t>drones</w:t>
      </w:r>
      <w:r w:rsidR="005411D3">
        <w:t>)</w:t>
      </w:r>
      <w:r>
        <w:t xml:space="preserve"> [</w:t>
      </w:r>
      <w:r>
        <w:fldChar w:fldCharType="begin"/>
      </w:r>
      <w:r>
        <w:instrText xml:space="preserve"> REF _Ref_cit_44 \h \* MERGEFORMAT </w:instrText>
      </w:r>
      <w:r>
        <w:fldChar w:fldCharType="separate"/>
      </w:r>
      <w:r w:rsidR="00B0043E" w:rsidRPr="00B0043E">
        <w:t>44</w:t>
      </w:r>
      <w:r>
        <w:fldChar w:fldCharType="end"/>
      </w:r>
      <w:r>
        <w:t xml:space="preserve">]. Οι </w:t>
      </w:r>
      <w:proofErr w:type="spellStart"/>
      <w:r>
        <w:t>Gaul</w:t>
      </w:r>
      <w:proofErr w:type="spellEnd"/>
      <w:r>
        <w:t xml:space="preserve"> και </w:t>
      </w:r>
      <w:proofErr w:type="spellStart"/>
      <w:r>
        <w:t>Rutkowski</w:t>
      </w:r>
      <w:proofErr w:type="spellEnd"/>
      <w:r>
        <w:t xml:space="preserve"> αναφέρουν εξοικονόμηση καυσίμου 5–25% για τους </w:t>
      </w:r>
      <w:proofErr w:type="spellStart"/>
      <w:r>
        <w:t>ρότορες</w:t>
      </w:r>
      <w:proofErr w:type="spellEnd"/>
      <w:r>
        <w:t xml:space="preserve">, οι οποίοι αντιστοιχούν στο 48% των εγκαταστάσεων, 10–20% για τις πτέρυγες αναρρόφησης (31%), 10–30% για τα </w:t>
      </w:r>
      <w:r w:rsidR="00784C71">
        <w:t>άκαμπτα</w:t>
      </w:r>
      <w:r>
        <w:t xml:space="preserve"> ιστία (19%) και 5–20% για τους χαρταετούς (2%), αν και τα στοιχεία αυτά βασίζονται σε μεγάλο βαθμό σε δεδομένα κατασκευαστών και νηογνωμόνων [</w:t>
      </w:r>
      <w:r>
        <w:fldChar w:fldCharType="begin"/>
      </w:r>
      <w:r>
        <w:instrText xml:space="preserve"> REF _Ref_cit_42 \h \* MERGEFORMAT </w:instrText>
      </w:r>
      <w:r>
        <w:fldChar w:fldCharType="separate"/>
      </w:r>
      <w:r w:rsidR="00B0043E" w:rsidRPr="00B0043E">
        <w:t>42</w:t>
      </w:r>
      <w:r>
        <w:fldChar w:fldCharType="end"/>
      </w:r>
      <w:r>
        <w:t>].</w:t>
      </w:r>
    </w:p>
    <w:p w14:paraId="4063C31E" w14:textId="77777777" w:rsidR="00E025A7" w:rsidRDefault="00000000">
      <w:pPr>
        <w:keepNext/>
        <w:spacing w:before="120" w:after="60"/>
        <w:jc w:val="center"/>
      </w:pPr>
      <w:r>
        <w:rPr>
          <w:noProof/>
        </w:rPr>
        <w:drawing>
          <wp:inline distT="0" distB="0" distL="0" distR="0" wp14:anchorId="40C795AA" wp14:editId="43C56AB5">
            <wp:extent cx="5120640" cy="3136933"/>
            <wp:effectExtent l="0" t="0" r="0" b="0"/>
            <wp:docPr id="2101467247" name="Picture 2101467247" descr="Τεχνολογίες WAPS σε πλοία σε λειτουργία (DNV,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b.png"/>
                    <pic:cNvPicPr/>
                  </pic:nvPicPr>
                  <pic:blipFill>
                    <a:blip r:embed="rId29"/>
                    <a:stretch>
                      <a:fillRect/>
                    </a:stretch>
                  </pic:blipFill>
                  <pic:spPr>
                    <a:xfrm>
                      <a:off x="0" y="0"/>
                      <a:ext cx="5120640" cy="3136933"/>
                    </a:xfrm>
                    <a:prstGeom prst="rect">
                      <a:avLst/>
                    </a:prstGeom>
                  </pic:spPr>
                </pic:pic>
              </a:graphicData>
            </a:graphic>
          </wp:inline>
        </w:drawing>
      </w:r>
    </w:p>
    <w:p w14:paraId="4E412FA9" w14:textId="77777777" w:rsidR="00E025A7" w:rsidRPr="008D7697" w:rsidRDefault="00000000">
      <w:pPr>
        <w:pStyle w:val="af2"/>
        <w:jc w:val="center"/>
      </w:pPr>
      <w:bookmarkStart w:id="163" w:name="_Ref_dnv_fig_a"/>
      <w:bookmarkStart w:id="164" w:name="_Toc243355385"/>
      <w:r w:rsidRPr="008D7697">
        <w:rPr>
          <w:b/>
          <w:bCs/>
        </w:rPr>
        <w:t xml:space="preserve">Εικόνα </w:t>
      </w:r>
      <w:r w:rsidRPr="008D7697">
        <w:rPr>
          <w:b/>
          <w:bCs/>
        </w:rPr>
        <w:fldChar w:fldCharType="begin"/>
      </w:r>
      <w:r w:rsidRPr="008D7697">
        <w:rPr>
          <w:b/>
          <w:bCs/>
        </w:rPr>
        <w:instrText xml:space="preserve"> SEQ Figure \* ARABIC </w:instrText>
      </w:r>
      <w:r w:rsidRPr="008D7697">
        <w:rPr>
          <w:b/>
          <w:bCs/>
        </w:rPr>
        <w:fldChar w:fldCharType="separate"/>
      </w:r>
      <w:r w:rsidRPr="008D7697">
        <w:rPr>
          <w:b/>
          <w:bCs/>
        </w:rPr>
        <w:t>20</w:t>
      </w:r>
      <w:r w:rsidRPr="008D7697">
        <w:rPr>
          <w:b/>
          <w:bCs/>
        </w:rPr>
        <w:fldChar w:fldCharType="end"/>
      </w:r>
      <w:bookmarkEnd w:id="163"/>
      <w:r w:rsidRPr="008D7697">
        <w:rPr>
          <w:b/>
          <w:bCs/>
        </w:rPr>
        <w:t>: Τεχνολογίες WAPS που έχουν επιλεγεί για πλοία σε λειτουργία (Ιανουάριος 2025).</w:t>
      </w:r>
      <w:bookmarkEnd w:id="164"/>
    </w:p>
    <w:p w14:paraId="35CE5776" w14:textId="77777777" w:rsidR="00E025A7" w:rsidRDefault="00000000">
      <w:pPr>
        <w:spacing w:before="60" w:after="200" w:line="240" w:lineRule="auto"/>
        <w:jc w:val="both"/>
      </w:pPr>
      <w:r w:rsidRPr="008D7697">
        <w:rPr>
          <w:i/>
          <w:iCs/>
          <w:sz w:val="18"/>
          <w:szCs w:val="18"/>
        </w:rPr>
        <w:t>Πηγή: DNV [</w:t>
      </w:r>
      <w:r w:rsidRPr="008D7697">
        <w:rPr>
          <w:i/>
          <w:iCs/>
          <w:sz w:val="18"/>
          <w:szCs w:val="18"/>
        </w:rPr>
        <w:fldChar w:fldCharType="begin"/>
      </w:r>
      <w:r w:rsidRPr="008D7697">
        <w:rPr>
          <w:i/>
          <w:iCs/>
          <w:sz w:val="18"/>
          <w:szCs w:val="18"/>
        </w:rPr>
        <w:instrText xml:space="preserve"> REF _Ref_cit_74 \h \* MERGEFORMAT </w:instrText>
      </w:r>
      <w:r w:rsidRPr="008D7697">
        <w:rPr>
          <w:i/>
          <w:iCs/>
          <w:sz w:val="18"/>
          <w:szCs w:val="18"/>
        </w:rPr>
      </w:r>
      <w:r w:rsidRPr="008D7697">
        <w:rPr>
          <w:i/>
          <w:iCs/>
          <w:sz w:val="18"/>
          <w:szCs w:val="18"/>
        </w:rPr>
        <w:fldChar w:fldCharType="separate"/>
      </w:r>
      <w:r w:rsidRPr="008D7697">
        <w:rPr>
          <w:i/>
          <w:iCs/>
          <w:sz w:val="18"/>
          <w:szCs w:val="18"/>
        </w:rPr>
        <w:t>74</w:t>
      </w:r>
      <w:r w:rsidRPr="008D7697">
        <w:rPr>
          <w:i/>
          <w:iCs/>
          <w:sz w:val="18"/>
          <w:szCs w:val="18"/>
        </w:rPr>
        <w:fldChar w:fldCharType="end"/>
      </w:r>
      <w:r w:rsidRPr="008D7697">
        <w:rPr>
          <w:i/>
          <w:iCs/>
          <w:sz w:val="18"/>
          <w:szCs w:val="18"/>
        </w:rPr>
        <w:t xml:space="preserve">], Σχήμα 3-2 (DNV, </w:t>
      </w:r>
      <w:proofErr w:type="spellStart"/>
      <w:r w:rsidRPr="008D7697">
        <w:rPr>
          <w:i/>
          <w:iCs/>
          <w:sz w:val="18"/>
          <w:szCs w:val="18"/>
        </w:rPr>
        <w:t>Clarksons</w:t>
      </w:r>
      <w:proofErr w:type="spellEnd"/>
      <w:r w:rsidRPr="008D7697">
        <w:rPr>
          <w:i/>
          <w:iCs/>
          <w:sz w:val="18"/>
          <w:szCs w:val="18"/>
        </w:rPr>
        <w:t>· στοιχεία έως 15 Ιανουαρίου 2025). Η ελληνική απόδοση των τίτλων και των ετικετών είναι του συγγραφέα.</w:t>
      </w:r>
    </w:p>
    <w:p w14:paraId="47FE2761" w14:textId="33E9D577" w:rsidR="00E025A7" w:rsidRDefault="008D7697">
      <w:pPr>
        <w:spacing w:line="360" w:lineRule="auto"/>
        <w:ind w:firstLine="576"/>
        <w:jc w:val="both"/>
      </w:pPr>
      <w:r w:rsidRPr="00FC3AEA">
        <w:t xml:space="preserve">Η </w:t>
      </w:r>
      <w:r w:rsidRPr="00FC3AEA">
        <w:rPr>
          <w:b/>
          <w:bCs/>
        </w:rPr>
        <w:fldChar w:fldCharType="begin"/>
      </w:r>
      <w:r w:rsidRPr="00FC3AEA">
        <w:rPr>
          <w:b/>
          <w:bCs/>
        </w:rPr>
        <w:instrText xml:space="preserve"> REF _Ref_dnv_fig_a \h \* MERGEFORMAT </w:instrText>
      </w:r>
      <w:r w:rsidRPr="00FC3AEA">
        <w:rPr>
          <w:b/>
          <w:bCs/>
        </w:rPr>
      </w:r>
      <w:r w:rsidRPr="00FC3AEA">
        <w:rPr>
          <w:b/>
          <w:bCs/>
        </w:rPr>
        <w:fldChar w:fldCharType="separate"/>
      </w:r>
      <w:r w:rsidRPr="00FC3AEA">
        <w:rPr>
          <w:b/>
          <w:bCs/>
        </w:rPr>
        <w:t>Εικόνα 20</w:t>
      </w:r>
      <w:r w:rsidRPr="00FC3AEA">
        <w:rPr>
          <w:b/>
          <w:bCs/>
        </w:rPr>
        <w:fldChar w:fldCharType="end"/>
      </w:r>
      <w:r w:rsidRPr="00FC3AEA">
        <w:t xml:space="preserve"> παρουσιάζει πώς κατανέμονται ανά τεχνολογία τα 52 πλοία που διέθεταν εγκατεστημένο σύστημα WAPS τον Ιανουάριο του 2025. Οι </w:t>
      </w:r>
      <w:proofErr w:type="spellStart"/>
      <w:r w:rsidRPr="00FC3AEA">
        <w:t>ρότορες</w:t>
      </w:r>
      <w:proofErr w:type="spellEnd"/>
      <w:r w:rsidRPr="00FC3AEA">
        <w:t xml:space="preserve"> αποτελούν τη συχνότερη επιλογή με 25 πλοία, δηλαδή περίπου το ήμισυ των εγκαταστάσεων (48%), ακολουθούν οι πτέρυγες αναρρόφησης με 16 πλοία (31%) και τα άκαμπτα ιστία με 10 πλοία (19%), ενώ οι χαρταετοί περιορίζονται σε 1 πλοίο (2%). Η κατανομή συμφωνεί με τα ποσοστά που παρατέθηκαν παραπάνω από τους </w:t>
      </w:r>
      <w:proofErr w:type="spellStart"/>
      <w:r w:rsidRPr="00FC3AEA">
        <w:t>Gaul</w:t>
      </w:r>
      <w:proofErr w:type="spellEnd"/>
      <w:r w:rsidRPr="00FC3AEA">
        <w:t xml:space="preserve"> και </w:t>
      </w:r>
      <w:proofErr w:type="spellStart"/>
      <w:r w:rsidRPr="00FC3AEA">
        <w:lastRenderedPageBreak/>
        <w:t>Rutkowski</w:t>
      </w:r>
      <w:proofErr w:type="spellEnd"/>
      <w:r w:rsidRPr="00FC3AEA">
        <w:t xml:space="preserve"> [42] και τεκμηριώνει την κυριαρχία των τριών τεχνολογιών που βρίσκονται σε εμπορική λειτουργία, ενώ τα συστήματα χαρταετού παραμένουν σε πρώιμο στάδιο</w:t>
      </w:r>
      <w:r w:rsidRPr="00434AAF">
        <w:t>.</w:t>
      </w:r>
    </w:p>
    <w:p w14:paraId="783656EB" w14:textId="177BBDF9" w:rsidR="00DE3C3C" w:rsidRDefault="003C7DFB">
      <w:pPr>
        <w:pStyle w:val="30"/>
      </w:pPr>
      <w:bookmarkStart w:id="165" w:name="_Toc243355333"/>
      <w:r>
        <w:t>Εγκαταστάσεις και παραγγελίες</w:t>
      </w:r>
      <w:bookmarkEnd w:id="165"/>
    </w:p>
    <w:p w14:paraId="57B17C64" w14:textId="06845AF3" w:rsidR="00DE3C3C" w:rsidRDefault="003C7DFB">
      <w:pPr>
        <w:spacing w:line="360" w:lineRule="auto"/>
        <w:ind w:firstLine="576"/>
        <w:jc w:val="both"/>
      </w:pPr>
      <w:r>
        <w:t xml:space="preserve">Ο αριθμός των εγκατεστημένων συστημάτων παραμένει πολύ μικρός σε σύγκριση με τον παγκόσμιο στόλο, αλλά έχει αρχίσει να αυξάνεται. Σύμφωνα με δεδομένα της </w:t>
      </w:r>
      <w:proofErr w:type="spellStart"/>
      <w:r>
        <w:t>Clarksons</w:t>
      </w:r>
      <w:proofErr w:type="spellEnd"/>
      <w:r>
        <w:t xml:space="preserve"> που παραθέτουν οι </w:t>
      </w:r>
      <w:proofErr w:type="spellStart"/>
      <w:r>
        <w:t>Kolodziejski</w:t>
      </w:r>
      <w:proofErr w:type="spellEnd"/>
      <w:r>
        <w:t xml:space="preserve"> και </w:t>
      </w:r>
      <w:proofErr w:type="spellStart"/>
      <w:r>
        <w:t>Sosnowski</w:t>
      </w:r>
      <w:proofErr w:type="spellEnd"/>
      <w:r>
        <w:t>, 101 πλοία διέθεταν εγκατεστημένα ή παραγγελμένα WAPS (29 εγκαταστάσεις μεταξύ 2018 και 2023 και 72 παραγγελίες το 2024), λιγότερο από το 0</w:t>
      </w:r>
      <w:r w:rsidR="00C15976">
        <w:t>,</w:t>
      </w:r>
      <w:r>
        <w:t>03% του παγκόσμιου στόλου, ενώ οι μετα</w:t>
      </w:r>
      <w:r w:rsidR="00C15976">
        <w:t>τροπ</w:t>
      </w:r>
      <w:r>
        <w:t>ές αντιστοιχούσαν στο 83% των εγκαταστάσεων και οι νέες ναυπηγήσεις στο 72% των παραγγελιών [</w:t>
      </w:r>
      <w:r>
        <w:fldChar w:fldCharType="begin"/>
      </w:r>
      <w:r>
        <w:instrText xml:space="preserve"> REF _Ref_cit_7 \h \* MERGEFORMAT </w:instrText>
      </w:r>
      <w:r>
        <w:fldChar w:fldCharType="separate"/>
      </w:r>
      <w:r w:rsidR="00B0043E" w:rsidRPr="00B0043E">
        <w:t>7</w:t>
      </w:r>
      <w:r>
        <w:fldChar w:fldCharType="end"/>
      </w:r>
      <w:r>
        <w:t xml:space="preserve">]. Το μητρώο της DNV που παραθέτουν οι </w:t>
      </w:r>
      <w:proofErr w:type="spellStart"/>
      <w:r>
        <w:t>Gaul</w:t>
      </w:r>
      <w:proofErr w:type="spellEnd"/>
      <w:r>
        <w:t xml:space="preserve"> και </w:t>
      </w:r>
      <w:proofErr w:type="spellStart"/>
      <w:r>
        <w:t>Rutkowski</w:t>
      </w:r>
      <w:proofErr w:type="spellEnd"/>
      <w:r>
        <w:t xml:space="preserve"> κατέγραφε 52 πλοία με WAPS και 97 νέες ναυπηγήσεις υπό παραγγελία τον Ιανουάριο του 2025, με περίπου το 75% των εγκατεστημένων συστημάτων να αφορά μετασκευές και τα ιστία-</w:t>
      </w:r>
      <w:proofErr w:type="spellStart"/>
      <w:r>
        <w:t>ρότορες</w:t>
      </w:r>
      <w:proofErr w:type="spellEnd"/>
      <w:r>
        <w:t xml:space="preserve"> να αντιστοιχούν στο 54% των συστημάτων σε φορτηγά πλοία χύδην ξηρού φορτίου και δεξαμενόπλοια [</w:t>
      </w:r>
      <w:r>
        <w:fldChar w:fldCharType="begin"/>
      </w:r>
      <w:r>
        <w:instrText xml:space="preserve"> REF _Ref_cit_42 \h \* MERGEFORMAT </w:instrText>
      </w:r>
      <w:r>
        <w:fldChar w:fldCharType="separate"/>
      </w:r>
      <w:r w:rsidR="00B0043E" w:rsidRPr="00B0043E">
        <w:t>42</w:t>
      </w:r>
      <w:r>
        <w:fldChar w:fldCharType="end"/>
      </w:r>
      <w:r>
        <w:t xml:space="preserve">]· τα δεδομένα της DNV στους </w:t>
      </w:r>
      <w:proofErr w:type="spellStart"/>
      <w:r>
        <w:t>Djoumessi</w:t>
      </w:r>
      <w:proofErr w:type="spellEnd"/>
      <w:r>
        <w:t xml:space="preserve"> </w:t>
      </w:r>
      <w:proofErr w:type="spellStart"/>
      <w:r>
        <w:t>et</w:t>
      </w:r>
      <w:proofErr w:type="spellEnd"/>
      <w:r>
        <w:t xml:space="preserve"> </w:t>
      </w:r>
      <w:proofErr w:type="spellStart"/>
      <w:r>
        <w:t>al</w:t>
      </w:r>
      <w:proofErr w:type="spellEnd"/>
      <w:r>
        <w:t>. δείχνουν 17 μετασκευές και 5 νέες ναυπηγήσεις σε λειτουργία το 2024 και ανεκτέλεστες παραγγελίες 94 νέων ναυπηγήσεων με παράδοση το 2025–2028 [</w:t>
      </w:r>
      <w:r>
        <w:fldChar w:fldCharType="begin"/>
      </w:r>
      <w:r>
        <w:instrText xml:space="preserve"> REF _Ref_cit_34 \h \* MERGEFORMAT </w:instrText>
      </w:r>
      <w:r>
        <w:fldChar w:fldCharType="separate"/>
      </w:r>
      <w:r w:rsidR="00B0043E" w:rsidRPr="00B0043E">
        <w:t>34</w:t>
      </w:r>
      <w:r>
        <w:fldChar w:fldCharType="end"/>
      </w:r>
      <w:r>
        <w:t xml:space="preserve">]. Οι παλαιότερες προβλέψεις ήταν πολύ πιο αισιόδοξες: μια μελέτη της CE </w:t>
      </w:r>
      <w:proofErr w:type="spellStart"/>
      <w:r>
        <w:t>Delft</w:t>
      </w:r>
      <w:proofErr w:type="spellEnd"/>
      <w:r>
        <w:t xml:space="preserve"> του 2017 προέβλεπε 3</w:t>
      </w:r>
      <w:r w:rsidR="00CD3623">
        <w:t>.</w:t>
      </w:r>
      <w:r>
        <w:t>700 έως 10</w:t>
      </w:r>
      <w:r w:rsidR="00CD3623">
        <w:t>.</w:t>
      </w:r>
      <w:r>
        <w:t>700 συστήματα έως το 2030, ενώ έως το τέλος του 2023 είχαν εγκατασταθεί μόνο 29 [</w:t>
      </w:r>
      <w:r>
        <w:fldChar w:fldCharType="begin"/>
      </w:r>
      <w:r>
        <w:instrText xml:space="preserve"> REF _Ref_cit_42 \h \* MERGEFORMAT </w:instrText>
      </w:r>
      <w:r>
        <w:fldChar w:fldCharType="separate"/>
      </w:r>
      <w:r w:rsidR="00B0043E" w:rsidRPr="00B0043E">
        <w:t>42</w:t>
      </w:r>
      <w:r>
        <w:fldChar w:fldCharType="end"/>
      </w:r>
      <w:r>
        <w:t xml:space="preserve">]. Οι </w:t>
      </w:r>
      <w:proofErr w:type="spellStart"/>
      <w:r>
        <w:t>Kolodziejski</w:t>
      </w:r>
      <w:proofErr w:type="spellEnd"/>
      <w:r>
        <w:t xml:space="preserve"> και </w:t>
      </w:r>
      <w:proofErr w:type="spellStart"/>
      <w:r>
        <w:t>Sosnowski</w:t>
      </w:r>
      <w:proofErr w:type="spellEnd"/>
      <w:r>
        <w:t xml:space="preserve"> σημειώνουν επίσης ότι μια διείσδυση 15% σε ολόκληρο τον στόλο θα απαιτούσε περίπου 75 φορές την τρέχουσα παραγωγική ικανότητα, με μόνο περίπου 16 ναυπηγεία να διαθέτουν εμπειρία στην εγκατάσταση WAPS, και ότι η εγκατάσταση σε μετασκευή κοστίζει περίπου το 25% του κόστους της μονάδας, έναντι 18% σε νέα ναυπήγηση [</w:t>
      </w:r>
      <w:r>
        <w:fldChar w:fldCharType="begin"/>
      </w:r>
      <w:r>
        <w:instrText xml:space="preserve"> REF _Ref_cit_7 \h \* MERGEFORMAT </w:instrText>
      </w:r>
      <w:r>
        <w:fldChar w:fldCharType="separate"/>
      </w:r>
      <w:r w:rsidR="00B0043E" w:rsidRPr="00B0043E">
        <w:t>7</w:t>
      </w:r>
      <w:r>
        <w:fldChar w:fldCharType="end"/>
      </w:r>
      <w:r>
        <w:t>]. Η απόσταση μεταξύ προβλέψεων και πραγματικότητας δείχνει ότι η διείσδυση έχει περιοριστεί λιγότερο από την τεχνολογία και περισσότερο από τα οικονομικά και οργανωτικά εμπόδια της Ενότητας 4.8.</w:t>
      </w:r>
    </w:p>
    <w:p w14:paraId="7C398216" w14:textId="77777777" w:rsidR="00E025A7" w:rsidRDefault="00000000">
      <w:pPr>
        <w:keepNext/>
        <w:spacing w:before="120" w:after="60"/>
        <w:jc w:val="center"/>
      </w:pPr>
      <w:r>
        <w:rPr>
          <w:noProof/>
        </w:rPr>
        <w:lastRenderedPageBreak/>
        <w:drawing>
          <wp:anchor distT="0" distB="0" distL="114300" distR="114300" simplePos="0" relativeHeight="251661346" behindDoc="0" locked="0" layoutInCell="1" allowOverlap="1" wp14:anchorId="079B7454" wp14:editId="29EBAC16">
            <wp:simplePos x="0" y="0"/>
            <wp:positionH relativeFrom="margin">
              <wp:align>center</wp:align>
            </wp:positionH>
            <wp:positionV relativeFrom="paragraph">
              <wp:posOffset>3570</wp:posOffset>
            </wp:positionV>
            <wp:extent cx="4565015" cy="2543175"/>
            <wp:effectExtent l="0" t="0" r="6985" b="9525"/>
            <wp:wrapSquare wrapText="bothSides"/>
            <wp:docPr id="2101467248" name="Picture 2101467248" descr="Αριθμός πλοίων με WAPS σε λειτουργία και υπό παραγγελία, 2010–2028 (DNV,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a.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565015" cy="2543175"/>
                    </a:xfrm>
                    <a:prstGeom prst="rect">
                      <a:avLst/>
                    </a:prstGeom>
                  </pic:spPr>
                </pic:pic>
              </a:graphicData>
            </a:graphic>
            <wp14:sizeRelH relativeFrom="margin">
              <wp14:pctWidth>0</wp14:pctWidth>
            </wp14:sizeRelH>
            <wp14:sizeRelV relativeFrom="margin">
              <wp14:pctHeight>0</wp14:pctHeight>
            </wp14:sizeRelV>
          </wp:anchor>
        </w:drawing>
      </w:r>
    </w:p>
    <w:p w14:paraId="669CD6DC" w14:textId="77777777" w:rsidR="00513E39" w:rsidRDefault="00513E39">
      <w:pPr>
        <w:pStyle w:val="af2"/>
        <w:jc w:val="center"/>
        <w:rPr>
          <w:b/>
          <w:bCs/>
        </w:rPr>
      </w:pPr>
      <w:bookmarkStart w:id="166" w:name="_Ref_dnv_fig_b"/>
    </w:p>
    <w:p w14:paraId="45407BA1" w14:textId="581CDED1" w:rsidR="00E025A7" w:rsidRPr="00434AAF" w:rsidRDefault="00000000">
      <w:pPr>
        <w:pStyle w:val="af2"/>
        <w:jc w:val="center"/>
      </w:pPr>
      <w:bookmarkStart w:id="167" w:name="_Toc243355386"/>
      <w:r w:rsidRPr="00434AAF">
        <w:rPr>
          <w:b/>
          <w:bCs/>
        </w:rPr>
        <w:t xml:space="preserve">Εικόνα </w:t>
      </w:r>
      <w:r w:rsidRPr="00434AAF">
        <w:rPr>
          <w:b/>
          <w:bCs/>
        </w:rPr>
        <w:fldChar w:fldCharType="begin"/>
      </w:r>
      <w:r w:rsidRPr="00434AAF">
        <w:rPr>
          <w:b/>
          <w:bCs/>
        </w:rPr>
        <w:instrText xml:space="preserve"> SEQ Figure \* ARABIC </w:instrText>
      </w:r>
      <w:r w:rsidRPr="00434AAF">
        <w:rPr>
          <w:b/>
          <w:bCs/>
        </w:rPr>
        <w:fldChar w:fldCharType="separate"/>
      </w:r>
      <w:r w:rsidRPr="00434AAF">
        <w:rPr>
          <w:b/>
          <w:bCs/>
        </w:rPr>
        <w:t>21</w:t>
      </w:r>
      <w:r w:rsidRPr="00434AAF">
        <w:rPr>
          <w:b/>
          <w:bCs/>
        </w:rPr>
        <w:fldChar w:fldCharType="end"/>
      </w:r>
      <w:bookmarkEnd w:id="166"/>
      <w:r w:rsidRPr="00434AAF">
        <w:rPr>
          <w:b/>
          <w:bCs/>
        </w:rPr>
        <w:t>: Αριθμός πλοίων με WAPS σε λειτουργία και υπό παραγγελία, 2010–2028.</w:t>
      </w:r>
      <w:bookmarkEnd w:id="167"/>
    </w:p>
    <w:p w14:paraId="55D3B038" w14:textId="77777777" w:rsidR="00E025A7" w:rsidRDefault="00000000">
      <w:pPr>
        <w:spacing w:before="60" w:after="200" w:line="240" w:lineRule="auto"/>
        <w:jc w:val="both"/>
      </w:pPr>
      <w:r w:rsidRPr="00434AAF">
        <w:rPr>
          <w:i/>
          <w:iCs/>
          <w:sz w:val="18"/>
          <w:szCs w:val="18"/>
        </w:rPr>
        <w:t>Πηγή: DNV [</w:t>
      </w:r>
      <w:r w:rsidRPr="00434AAF">
        <w:rPr>
          <w:i/>
          <w:iCs/>
          <w:sz w:val="18"/>
          <w:szCs w:val="18"/>
        </w:rPr>
        <w:fldChar w:fldCharType="begin"/>
      </w:r>
      <w:r w:rsidRPr="00434AAF">
        <w:rPr>
          <w:i/>
          <w:iCs/>
          <w:sz w:val="18"/>
          <w:szCs w:val="18"/>
        </w:rPr>
        <w:instrText xml:space="preserve"> REF _Ref_cit_74 \h \* MERGEFORMAT </w:instrText>
      </w:r>
      <w:r w:rsidRPr="00434AAF">
        <w:rPr>
          <w:i/>
          <w:iCs/>
          <w:sz w:val="18"/>
          <w:szCs w:val="18"/>
        </w:rPr>
      </w:r>
      <w:r w:rsidRPr="00434AAF">
        <w:rPr>
          <w:i/>
          <w:iCs/>
          <w:sz w:val="18"/>
          <w:szCs w:val="18"/>
        </w:rPr>
        <w:fldChar w:fldCharType="separate"/>
      </w:r>
      <w:r w:rsidRPr="00434AAF">
        <w:rPr>
          <w:i/>
          <w:iCs/>
          <w:sz w:val="18"/>
          <w:szCs w:val="18"/>
        </w:rPr>
        <w:t>74</w:t>
      </w:r>
      <w:r w:rsidRPr="00434AAF">
        <w:rPr>
          <w:i/>
          <w:iCs/>
          <w:sz w:val="18"/>
          <w:szCs w:val="18"/>
        </w:rPr>
        <w:fldChar w:fldCharType="end"/>
      </w:r>
      <w:r w:rsidRPr="00434AAF">
        <w:rPr>
          <w:i/>
          <w:iCs/>
          <w:sz w:val="18"/>
          <w:szCs w:val="18"/>
        </w:rPr>
        <w:t xml:space="preserve">], Σχήμα 3-1 (DNV, </w:t>
      </w:r>
      <w:proofErr w:type="spellStart"/>
      <w:r w:rsidRPr="00434AAF">
        <w:rPr>
          <w:i/>
          <w:iCs/>
          <w:sz w:val="18"/>
          <w:szCs w:val="18"/>
        </w:rPr>
        <w:t>Clarksons</w:t>
      </w:r>
      <w:proofErr w:type="spellEnd"/>
      <w:r w:rsidRPr="00434AAF">
        <w:rPr>
          <w:i/>
          <w:iCs/>
          <w:sz w:val="18"/>
          <w:szCs w:val="18"/>
        </w:rPr>
        <w:t>· στοιχεία έως 15 Ιανουαρίου 2025). Οι τιμές ανά έτος αναγνώστηκαν από το γράφημα της πηγής και τα αθροίσματα (52 πλοία σε λειτουργία, 97 υπό παραγγελία) συμφωνούν με το κείμενο της DNV.</w:t>
      </w:r>
    </w:p>
    <w:p w14:paraId="351C414A" w14:textId="45A225B6" w:rsidR="00E025A7" w:rsidRDefault="00AF3249">
      <w:pPr>
        <w:spacing w:line="360" w:lineRule="auto"/>
        <w:ind w:firstLine="576"/>
        <w:jc w:val="both"/>
      </w:pPr>
      <w:r>
        <w:rPr>
          <w:noProof/>
        </w:rPr>
        <w:drawing>
          <wp:anchor distT="0" distB="0" distL="114300" distR="114300" simplePos="0" relativeHeight="251662370" behindDoc="0" locked="0" layoutInCell="1" allowOverlap="1" wp14:anchorId="7EE1AFD2" wp14:editId="4EA9904C">
            <wp:simplePos x="0" y="0"/>
            <wp:positionH relativeFrom="margin">
              <wp:align>center</wp:align>
            </wp:positionH>
            <wp:positionV relativeFrom="paragraph">
              <wp:posOffset>2312292</wp:posOffset>
            </wp:positionV>
            <wp:extent cx="4676140" cy="2604770"/>
            <wp:effectExtent l="0" t="0" r="0" b="5080"/>
            <wp:wrapSquare wrapText="bothSides"/>
            <wp:docPr id="2101467249" name="Picture 2101467249" descr="Αριθμός πλοίων με WAPS σε λειτουργία και υπό παραγγελία ανά τύπο πλοίου (DNV,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c.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676140" cy="2604770"/>
                    </a:xfrm>
                    <a:prstGeom prst="rect">
                      <a:avLst/>
                    </a:prstGeom>
                  </pic:spPr>
                </pic:pic>
              </a:graphicData>
            </a:graphic>
            <wp14:sizeRelH relativeFrom="margin">
              <wp14:pctWidth>0</wp14:pctWidth>
            </wp14:sizeRelH>
            <wp14:sizeRelV relativeFrom="margin">
              <wp14:pctHeight>0</wp14:pctHeight>
            </wp14:sizeRelV>
          </wp:anchor>
        </w:drawing>
      </w:r>
      <w:r w:rsidR="005850EB" w:rsidRPr="00513E39">
        <w:t xml:space="preserve">Η </w:t>
      </w:r>
      <w:r w:rsidRPr="00513E39">
        <w:rPr>
          <w:b/>
          <w:bCs/>
        </w:rPr>
        <w:fldChar w:fldCharType="begin"/>
      </w:r>
      <w:r w:rsidRPr="00513E39">
        <w:rPr>
          <w:b/>
          <w:bCs/>
        </w:rPr>
        <w:instrText xml:space="preserve"> REF _Ref_dnv_fig_b \h \* MERGEFORMAT </w:instrText>
      </w:r>
      <w:r w:rsidRPr="00513E39">
        <w:rPr>
          <w:b/>
          <w:bCs/>
        </w:rPr>
      </w:r>
      <w:r w:rsidRPr="00513E39">
        <w:rPr>
          <w:b/>
          <w:bCs/>
        </w:rPr>
        <w:fldChar w:fldCharType="separate"/>
      </w:r>
      <w:r w:rsidRPr="00513E39">
        <w:rPr>
          <w:b/>
          <w:bCs/>
        </w:rPr>
        <w:t>Εικόνα 21</w:t>
      </w:r>
      <w:r w:rsidRPr="00513E39">
        <w:rPr>
          <w:b/>
          <w:bCs/>
        </w:rPr>
        <w:fldChar w:fldCharType="end"/>
      </w:r>
      <w:r w:rsidRPr="00513E39">
        <w:t xml:space="preserve"> δείχνει, ανά έτος, τον αριθμό των πλοίων με WAPS που βρίσκονται σε λειτουργία την περίοδο 2010–2024 και των πλοίων που έχουν παραγγελθεί για παράδοση την περίοδο 2025–2028, με διάκριση μεταξύ νεότευκτων και μετασκευών. Η αύξηση είναι πρόσφατη και ραγδαία: οι εγκαταστάσεις ανέρχονται από 6 το 2021 σε 22 το 2024, από τις οποίες οι 17 αφορούν μετασκευές. Οι παραγγελίες αντιστοιχούν σε 45 πλοία για το 2025, 27 για το 2026, 19 για το 2027 και 6 για το 2028, δηλαδή σε 97 νεότευκτα συνολικά. Οι μετασκευές δεν περιλαμβάνονται στις παραγγελίες και ο στόλος με WAPS αναμένεται επομένως να αυξηθεί περαιτέρω.</w:t>
      </w:r>
    </w:p>
    <w:p w14:paraId="3A72D587" w14:textId="77777777" w:rsidR="00AF3249" w:rsidRDefault="00AF3249" w:rsidP="00AF3249">
      <w:pPr>
        <w:pStyle w:val="af2"/>
        <w:jc w:val="center"/>
      </w:pPr>
      <w:bookmarkStart w:id="168" w:name="_Ref_dnv_fig_c"/>
      <w:bookmarkStart w:id="169" w:name="_Toc243355387"/>
      <w:r w:rsidRPr="00AF3249">
        <w:rPr>
          <w:b/>
          <w:bCs/>
        </w:rPr>
        <w:t xml:space="preserve">Εικόνα </w:t>
      </w:r>
      <w:r w:rsidRPr="00AF3249">
        <w:rPr>
          <w:b/>
          <w:bCs/>
        </w:rPr>
        <w:fldChar w:fldCharType="begin"/>
      </w:r>
      <w:r w:rsidRPr="00AF3249">
        <w:rPr>
          <w:b/>
          <w:bCs/>
        </w:rPr>
        <w:instrText xml:space="preserve"> SEQ Figure \* ARABIC </w:instrText>
      </w:r>
      <w:r w:rsidRPr="00AF3249">
        <w:rPr>
          <w:b/>
          <w:bCs/>
        </w:rPr>
        <w:fldChar w:fldCharType="separate"/>
      </w:r>
      <w:r w:rsidRPr="00AF3249">
        <w:rPr>
          <w:b/>
          <w:bCs/>
        </w:rPr>
        <w:t>22</w:t>
      </w:r>
      <w:r w:rsidRPr="00AF3249">
        <w:rPr>
          <w:b/>
          <w:bCs/>
        </w:rPr>
        <w:fldChar w:fldCharType="end"/>
      </w:r>
      <w:bookmarkEnd w:id="168"/>
      <w:r w:rsidRPr="00AF3249">
        <w:rPr>
          <w:b/>
          <w:bCs/>
        </w:rPr>
        <w:t>: Αριθμός πλοίων που διαθέτουν ή έχουν παραγγείλει WAPS, ανά τύπο πλοίου.</w:t>
      </w:r>
      <w:bookmarkEnd w:id="169"/>
    </w:p>
    <w:p w14:paraId="718FBE39" w14:textId="77777777" w:rsidR="00E025A7" w:rsidRDefault="00000000" w:rsidP="00D02608">
      <w:pPr>
        <w:spacing w:before="60" w:after="200" w:line="240" w:lineRule="auto"/>
      </w:pPr>
      <w:r w:rsidRPr="00AF3249">
        <w:rPr>
          <w:i/>
          <w:iCs/>
          <w:sz w:val="18"/>
          <w:szCs w:val="18"/>
        </w:rPr>
        <w:t>Πηγή: DNV [</w:t>
      </w:r>
      <w:r w:rsidRPr="00AF3249">
        <w:rPr>
          <w:i/>
          <w:iCs/>
          <w:sz w:val="18"/>
          <w:szCs w:val="18"/>
        </w:rPr>
        <w:fldChar w:fldCharType="begin"/>
      </w:r>
      <w:r w:rsidRPr="00AF3249">
        <w:rPr>
          <w:i/>
          <w:iCs/>
          <w:sz w:val="18"/>
          <w:szCs w:val="18"/>
        </w:rPr>
        <w:instrText xml:space="preserve"> REF _Ref_cit_74 \h \* MERGEFORMAT </w:instrText>
      </w:r>
      <w:r w:rsidRPr="00AF3249">
        <w:rPr>
          <w:i/>
          <w:iCs/>
          <w:sz w:val="18"/>
          <w:szCs w:val="18"/>
        </w:rPr>
      </w:r>
      <w:r w:rsidRPr="00AF3249">
        <w:rPr>
          <w:i/>
          <w:iCs/>
          <w:sz w:val="18"/>
          <w:szCs w:val="18"/>
        </w:rPr>
        <w:fldChar w:fldCharType="separate"/>
      </w:r>
      <w:r w:rsidRPr="00AF3249">
        <w:rPr>
          <w:i/>
          <w:iCs/>
          <w:sz w:val="18"/>
          <w:szCs w:val="18"/>
        </w:rPr>
        <w:t>74</w:t>
      </w:r>
      <w:r w:rsidRPr="00AF3249">
        <w:rPr>
          <w:i/>
          <w:iCs/>
          <w:sz w:val="18"/>
          <w:szCs w:val="18"/>
        </w:rPr>
        <w:fldChar w:fldCharType="end"/>
      </w:r>
      <w:r w:rsidRPr="00AF3249">
        <w:rPr>
          <w:i/>
          <w:iCs/>
          <w:sz w:val="18"/>
          <w:szCs w:val="18"/>
        </w:rPr>
        <w:t xml:space="preserve">], Σχήμα 3-3 (DNV, </w:t>
      </w:r>
      <w:proofErr w:type="spellStart"/>
      <w:r w:rsidRPr="00AF3249">
        <w:rPr>
          <w:i/>
          <w:iCs/>
          <w:sz w:val="18"/>
          <w:szCs w:val="18"/>
        </w:rPr>
        <w:t>Clarksons</w:t>
      </w:r>
      <w:proofErr w:type="spellEnd"/>
      <w:r w:rsidRPr="00AF3249">
        <w:rPr>
          <w:i/>
          <w:iCs/>
          <w:sz w:val="18"/>
          <w:szCs w:val="18"/>
        </w:rPr>
        <w:t>· στοιχεία έως 15 Ιανουαρίου 2025). Οι τιμές ανά τύπο αναγνώστηκαν από το γράφημα της πηγής και τα αθροίσματα (52 και 97 πλοία) συμφωνούν με το κείμενο της DNV.</w:t>
      </w:r>
    </w:p>
    <w:p w14:paraId="3281732A" w14:textId="60A5AB4D" w:rsidR="00E025A7" w:rsidRDefault="00AF3249">
      <w:pPr>
        <w:spacing w:line="360" w:lineRule="auto"/>
        <w:ind w:firstLine="576"/>
        <w:jc w:val="both"/>
      </w:pPr>
      <w:r w:rsidRPr="00D02608">
        <w:lastRenderedPageBreak/>
        <w:t xml:space="preserve">Η </w:t>
      </w:r>
      <w:r w:rsidRPr="00D02608">
        <w:rPr>
          <w:b/>
          <w:bCs/>
        </w:rPr>
        <w:fldChar w:fldCharType="begin"/>
      </w:r>
      <w:r w:rsidRPr="00D02608">
        <w:rPr>
          <w:b/>
          <w:bCs/>
        </w:rPr>
        <w:instrText xml:space="preserve"> REF _Ref_dnv_fig_c \h \* MERGEFORMAT </w:instrText>
      </w:r>
      <w:r w:rsidRPr="00D02608">
        <w:rPr>
          <w:b/>
          <w:bCs/>
        </w:rPr>
      </w:r>
      <w:r w:rsidRPr="00D02608">
        <w:rPr>
          <w:b/>
          <w:bCs/>
        </w:rPr>
        <w:fldChar w:fldCharType="separate"/>
      </w:r>
      <w:r w:rsidRPr="00D02608">
        <w:rPr>
          <w:b/>
          <w:bCs/>
        </w:rPr>
        <w:t>Εικόνα 22</w:t>
      </w:r>
      <w:r w:rsidRPr="00D02608">
        <w:rPr>
          <w:b/>
          <w:bCs/>
        </w:rPr>
        <w:fldChar w:fldCharType="end"/>
      </w:r>
      <w:r w:rsidRPr="00D02608">
        <w:t xml:space="preserve"> κατανέμει τα πλοία ανά τύπο. Σε λειτουργία προηγούνται τα φορτηγά πλοία χύδην ξηρού φορτίου (15 πλοία), το γενικό φορτίο (12) και τα </w:t>
      </w:r>
      <w:proofErr w:type="spellStart"/>
      <w:r w:rsidRPr="00D02608">
        <w:t>RoRo</w:t>
      </w:r>
      <w:proofErr w:type="spellEnd"/>
      <w:r w:rsidRPr="00D02608">
        <w:t xml:space="preserve"> (8), ενώ οι παραγγελίες συγκεντρώνονται στο γενικό φορτίο (36 πλοία) και στα δεξαμενόπλοια (35), τα οποία έχουν σήμερα μόνο 6 πλοία σε λειτουργία. Το γενικό φορτίο και τα δεξαμενόπλοια αντιστοιχούν συνολικά σε περισσότερα από τα μισά πλοία του συνόλου (89 από 149), γεγονός που δείχνει τη στροφή της αγοράς προς αυτούς τους τύπους πλοίων. Όπως αναφέρεται παραπάνω, στα φορτηγά πλοία χύδην ξηρού φορτίου και στα δεξαμενόπλοια κυριαρχούν οι </w:t>
      </w:r>
      <w:proofErr w:type="spellStart"/>
      <w:r w:rsidRPr="00D02608">
        <w:t>ρότορες</w:t>
      </w:r>
      <w:proofErr w:type="spellEnd"/>
      <w:r w:rsidRPr="00D02608">
        <w:t xml:space="preserve"> (54% των συστημάτων), ενώ στο γενικό φορτίο οι πτέρυγες αναρρόφησης (67%) [42].</w:t>
      </w:r>
    </w:p>
    <w:p w14:paraId="4EFDEE74" w14:textId="77777777" w:rsidR="00DE3C3C" w:rsidRDefault="003C7DFB">
      <w:pPr>
        <w:pStyle w:val="30"/>
      </w:pPr>
      <w:bookmarkStart w:id="170" w:name="_Toc243355334"/>
      <w:r>
        <w:t>Εξοικονόμηση μετρημένη σε πλοία σε λειτουργία και απόκλιση από τις προσομοιώσεις</w:t>
      </w:r>
      <w:bookmarkEnd w:id="170"/>
    </w:p>
    <w:p w14:paraId="7EB1C814" w14:textId="7AADA6AF" w:rsidR="00DE3C3C" w:rsidRDefault="003C7DFB">
      <w:pPr>
        <w:spacing w:line="360" w:lineRule="auto"/>
        <w:ind w:firstLine="576"/>
        <w:jc w:val="both"/>
      </w:pPr>
      <w:r>
        <w:t xml:space="preserve">Τα πιο χρήσιμα στοιχεία για την αξιολόγηση είναι η εξοικονόμηση καυσίμου που έχει μετρηθεί σε πλοία σε λειτουργία. Ο </w:t>
      </w:r>
      <w:r w:rsidRPr="005C5583">
        <w:rPr>
          <w:b/>
          <w:bCs/>
        </w:rPr>
        <w:t xml:space="preserve">Πίνακας 8 </w:t>
      </w:r>
      <w:r>
        <w:t xml:space="preserve">συγκεντρώνει τις τιμές που αναφέρονται στις επισκοπήσεις των </w:t>
      </w:r>
      <w:proofErr w:type="spellStart"/>
      <w:r>
        <w:t>Zhang</w:t>
      </w:r>
      <w:proofErr w:type="spellEnd"/>
      <w:r>
        <w:t xml:space="preserve"> </w:t>
      </w:r>
      <w:proofErr w:type="spellStart"/>
      <w:r>
        <w:t>et</w:t>
      </w:r>
      <w:proofErr w:type="spellEnd"/>
      <w:r>
        <w:t xml:space="preserve"> </w:t>
      </w:r>
      <w:proofErr w:type="spellStart"/>
      <w:r>
        <w:t>al</w:t>
      </w:r>
      <w:proofErr w:type="spellEnd"/>
      <w:r>
        <w:t>. [</w:t>
      </w:r>
      <w:r>
        <w:fldChar w:fldCharType="begin"/>
      </w:r>
      <w:r>
        <w:instrText xml:space="preserve"> REF _Ref_cit_28 \h \* MERGEFORMAT </w:instrText>
      </w:r>
      <w:r>
        <w:fldChar w:fldCharType="separate"/>
      </w:r>
      <w:r w:rsidR="00B0043E" w:rsidRPr="00B0043E">
        <w:t>28</w:t>
      </w:r>
      <w:r>
        <w:fldChar w:fldCharType="end"/>
      </w:r>
      <w:r>
        <w:t xml:space="preserve">], </w:t>
      </w:r>
      <w:proofErr w:type="spellStart"/>
      <w:r>
        <w:t>Kolodziejski</w:t>
      </w:r>
      <w:proofErr w:type="spellEnd"/>
      <w:r>
        <w:t xml:space="preserve"> και </w:t>
      </w:r>
      <w:proofErr w:type="spellStart"/>
      <w:r>
        <w:t>Sosnowski</w:t>
      </w:r>
      <w:proofErr w:type="spellEnd"/>
      <w:r>
        <w:t xml:space="preserve"> [</w:t>
      </w:r>
      <w:r>
        <w:fldChar w:fldCharType="begin"/>
      </w:r>
      <w:r>
        <w:instrText xml:space="preserve"> REF _Ref_cit_7 \h \* MERGEFORMAT </w:instrText>
      </w:r>
      <w:r>
        <w:fldChar w:fldCharType="separate"/>
      </w:r>
      <w:r w:rsidR="00B0043E" w:rsidRPr="00B0043E">
        <w:t>7</w:t>
      </w:r>
      <w:r>
        <w:fldChar w:fldCharType="end"/>
      </w:r>
      <w:r>
        <w:t xml:space="preserve">] και </w:t>
      </w:r>
      <w:proofErr w:type="spellStart"/>
      <w:r>
        <w:t>Gaul</w:t>
      </w:r>
      <w:proofErr w:type="spellEnd"/>
      <w:r>
        <w:t xml:space="preserve"> και </w:t>
      </w:r>
      <w:proofErr w:type="spellStart"/>
      <w:r>
        <w:t>Rutkowski</w:t>
      </w:r>
      <w:proofErr w:type="spellEnd"/>
      <w:r>
        <w:t xml:space="preserve"> [</w:t>
      </w:r>
      <w:r>
        <w:fldChar w:fldCharType="begin"/>
      </w:r>
      <w:r>
        <w:instrText xml:space="preserve"> REF _Ref_cit_42 \h \* MERGEFORMAT </w:instrText>
      </w:r>
      <w:r>
        <w:fldChar w:fldCharType="separate"/>
      </w:r>
      <w:r w:rsidR="00B0043E" w:rsidRPr="00B0043E">
        <w:t>42</w:t>
      </w:r>
      <w:r>
        <w:fldChar w:fldCharType="end"/>
      </w:r>
      <w:r>
        <w:t>]. Οι τιμές προέρχονται από διάφορες πηγές, μεταξύ των οποίων κατασκευαστές, διαχειριστές και, σε λίγες περιπτώσεις, νηογνώμονες, ενώ η μέθοδος προσδιορισμού της εξοικονόμησης διαφέρει από πλοίο σε πλοίο. Πρέπει επομένως να διαβάζονται ως ενδείξεις τάξης μεγέθους και όχι ως άμεσα συγκρίσιμες μετρήσεις.</w:t>
      </w:r>
    </w:p>
    <w:p w14:paraId="0555B5B5" w14:textId="741BD492" w:rsidR="00DE3C3C" w:rsidRDefault="003C7DFB">
      <w:pPr>
        <w:pStyle w:val="af2"/>
        <w:keepNext/>
        <w:jc w:val="center"/>
        <w:rPr>
          <w:b/>
          <w:bCs/>
          <w:noProof/>
        </w:rPr>
      </w:pPr>
      <w:r>
        <w:rPr>
          <w:b/>
          <w:bCs/>
        </w:rPr>
        <w:t xml:space="preserve">Πίνακας </w:t>
      </w:r>
      <w:r>
        <w:rPr>
          <w:b/>
          <w:bCs/>
        </w:rPr>
        <w:fldChar w:fldCharType="begin"/>
      </w:r>
      <w:r>
        <w:rPr>
          <w:b/>
          <w:bCs/>
        </w:rPr>
        <w:instrText xml:space="preserve"> SEQ Table \* ARABIC </w:instrText>
      </w:r>
      <w:r>
        <w:rPr>
          <w:b/>
          <w:bCs/>
        </w:rPr>
        <w:fldChar w:fldCharType="separate"/>
      </w:r>
      <w:r w:rsidR="00B0043E">
        <w:rPr>
          <w:b/>
          <w:bCs/>
          <w:noProof/>
        </w:rPr>
        <w:t>8</w:t>
      </w:r>
      <w:r>
        <w:rPr>
          <w:b/>
          <w:bCs/>
        </w:rPr>
        <w:fldChar w:fldCharType="end"/>
      </w:r>
      <w:r>
        <w:rPr>
          <w:b/>
          <w:bCs/>
        </w:rPr>
        <w:t>: Εξοικονόμηση καυσίμου που έχει αναφερθεί για πλοία εξοπλισμένα με WAPS.</w:t>
      </w:r>
    </w:p>
    <w:tbl>
      <w:tblPr>
        <w:tblW w:w="8640"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1900"/>
        <w:gridCol w:w="1500"/>
        <w:gridCol w:w="3500"/>
        <w:gridCol w:w="1740"/>
      </w:tblGrid>
      <w:tr w:rsidR="00DE3C3C" w14:paraId="42BA9EB1" w14:textId="77777777">
        <w:trPr>
          <w:cantSplit/>
          <w:tblHeader/>
          <w:jc w:val="center"/>
        </w:trPr>
        <w:tc>
          <w:tcPr>
            <w:tcW w:w="1900" w:type="dxa"/>
            <w:shd w:val="clear" w:color="auto" w:fill="D9D9D9"/>
            <w:tcMar>
              <w:top w:w="60" w:type="dxa"/>
              <w:left w:w="100" w:type="dxa"/>
              <w:bottom w:w="60" w:type="dxa"/>
              <w:right w:w="100" w:type="dxa"/>
            </w:tcMar>
            <w:vAlign w:val="center"/>
          </w:tcPr>
          <w:p w14:paraId="44289FC5" w14:textId="77777777" w:rsidR="00DE3C3C" w:rsidRDefault="003C7DFB" w:rsidP="00535231">
            <w:pPr>
              <w:spacing w:after="0" w:line="240" w:lineRule="auto"/>
              <w:jc w:val="center"/>
              <w:rPr>
                <w:sz w:val="18"/>
                <w:szCs w:val="18"/>
              </w:rPr>
            </w:pPr>
            <w:r>
              <w:rPr>
                <w:b/>
                <w:bCs/>
                <w:sz w:val="18"/>
                <w:szCs w:val="18"/>
              </w:rPr>
              <w:t>Πλοίο</w:t>
            </w:r>
          </w:p>
        </w:tc>
        <w:tc>
          <w:tcPr>
            <w:tcW w:w="1500" w:type="dxa"/>
            <w:shd w:val="clear" w:color="auto" w:fill="D9D9D9"/>
            <w:tcMar>
              <w:top w:w="60" w:type="dxa"/>
              <w:left w:w="100" w:type="dxa"/>
              <w:bottom w:w="60" w:type="dxa"/>
              <w:right w:w="100" w:type="dxa"/>
            </w:tcMar>
            <w:vAlign w:val="center"/>
          </w:tcPr>
          <w:p w14:paraId="65861930" w14:textId="77777777" w:rsidR="00DE3C3C" w:rsidRDefault="003C7DFB" w:rsidP="00535231">
            <w:pPr>
              <w:spacing w:after="0" w:line="240" w:lineRule="auto"/>
              <w:jc w:val="center"/>
              <w:rPr>
                <w:sz w:val="18"/>
                <w:szCs w:val="18"/>
              </w:rPr>
            </w:pPr>
            <w:r>
              <w:rPr>
                <w:b/>
                <w:bCs/>
                <w:sz w:val="18"/>
                <w:szCs w:val="18"/>
              </w:rPr>
              <w:t>Σύστημα</w:t>
            </w:r>
          </w:p>
        </w:tc>
        <w:tc>
          <w:tcPr>
            <w:tcW w:w="3500" w:type="dxa"/>
            <w:shd w:val="clear" w:color="auto" w:fill="D9D9D9"/>
            <w:tcMar>
              <w:top w:w="60" w:type="dxa"/>
              <w:left w:w="100" w:type="dxa"/>
              <w:bottom w:w="60" w:type="dxa"/>
              <w:right w:w="100" w:type="dxa"/>
            </w:tcMar>
            <w:vAlign w:val="center"/>
          </w:tcPr>
          <w:p w14:paraId="6481315C" w14:textId="77777777" w:rsidR="00DE3C3C" w:rsidRDefault="003C7DFB" w:rsidP="00535231">
            <w:pPr>
              <w:spacing w:after="0" w:line="240" w:lineRule="auto"/>
              <w:jc w:val="center"/>
              <w:rPr>
                <w:sz w:val="18"/>
                <w:szCs w:val="18"/>
              </w:rPr>
            </w:pPr>
            <w:r>
              <w:rPr>
                <w:b/>
                <w:bCs/>
                <w:sz w:val="18"/>
                <w:szCs w:val="18"/>
              </w:rPr>
              <w:t>Διαδρομή ή υπηρεσία</w:t>
            </w:r>
          </w:p>
        </w:tc>
        <w:tc>
          <w:tcPr>
            <w:tcW w:w="1740" w:type="dxa"/>
            <w:shd w:val="clear" w:color="auto" w:fill="D9D9D9"/>
            <w:tcMar>
              <w:top w:w="60" w:type="dxa"/>
              <w:left w:w="100" w:type="dxa"/>
              <w:bottom w:w="60" w:type="dxa"/>
              <w:right w:w="100" w:type="dxa"/>
            </w:tcMar>
            <w:vAlign w:val="center"/>
          </w:tcPr>
          <w:p w14:paraId="4B4F77FA" w14:textId="77777777" w:rsidR="00DE3C3C" w:rsidRDefault="003C7DFB" w:rsidP="00535231">
            <w:pPr>
              <w:spacing w:after="0" w:line="240" w:lineRule="auto"/>
              <w:jc w:val="center"/>
              <w:rPr>
                <w:sz w:val="18"/>
                <w:szCs w:val="18"/>
              </w:rPr>
            </w:pPr>
            <w:r>
              <w:rPr>
                <w:b/>
                <w:bCs/>
                <w:sz w:val="18"/>
                <w:szCs w:val="18"/>
              </w:rPr>
              <w:t>Αναφερόμενη εξοικονόμηση</w:t>
            </w:r>
          </w:p>
        </w:tc>
      </w:tr>
      <w:tr w:rsidR="00DE3C3C" w14:paraId="4DF3BEB2" w14:textId="77777777">
        <w:trPr>
          <w:cantSplit/>
          <w:jc w:val="center"/>
        </w:trPr>
        <w:tc>
          <w:tcPr>
            <w:tcW w:w="1900" w:type="dxa"/>
            <w:tcMar>
              <w:top w:w="60" w:type="dxa"/>
              <w:left w:w="100" w:type="dxa"/>
              <w:bottom w:w="60" w:type="dxa"/>
              <w:right w:w="100" w:type="dxa"/>
            </w:tcMar>
            <w:vAlign w:val="center"/>
          </w:tcPr>
          <w:p w14:paraId="0C66C339" w14:textId="77777777" w:rsidR="00DE3C3C" w:rsidRDefault="003C7DFB" w:rsidP="00535231">
            <w:pPr>
              <w:spacing w:after="0" w:line="240" w:lineRule="auto"/>
              <w:jc w:val="center"/>
              <w:rPr>
                <w:sz w:val="18"/>
                <w:szCs w:val="18"/>
              </w:rPr>
            </w:pPr>
            <w:r>
              <w:rPr>
                <w:sz w:val="18"/>
                <w:szCs w:val="18"/>
              </w:rPr>
              <w:t>E-</w:t>
            </w:r>
            <w:proofErr w:type="spellStart"/>
            <w:r>
              <w:rPr>
                <w:sz w:val="18"/>
                <w:szCs w:val="18"/>
              </w:rPr>
              <w:t>Ship</w:t>
            </w:r>
            <w:proofErr w:type="spellEnd"/>
            <w:r>
              <w:rPr>
                <w:sz w:val="18"/>
                <w:szCs w:val="18"/>
              </w:rPr>
              <w:t xml:space="preserve"> 1</w:t>
            </w:r>
          </w:p>
        </w:tc>
        <w:tc>
          <w:tcPr>
            <w:tcW w:w="1500" w:type="dxa"/>
            <w:tcMar>
              <w:top w:w="60" w:type="dxa"/>
              <w:left w:w="100" w:type="dxa"/>
              <w:bottom w:w="60" w:type="dxa"/>
              <w:right w:w="100" w:type="dxa"/>
            </w:tcMar>
            <w:vAlign w:val="center"/>
          </w:tcPr>
          <w:p w14:paraId="5D5C09CB" w14:textId="77777777" w:rsidR="00DE3C3C" w:rsidRDefault="003C7DFB" w:rsidP="00535231">
            <w:pPr>
              <w:spacing w:after="0" w:line="240" w:lineRule="auto"/>
              <w:jc w:val="center"/>
              <w:rPr>
                <w:sz w:val="18"/>
                <w:szCs w:val="18"/>
              </w:rPr>
            </w:pPr>
            <w:r>
              <w:rPr>
                <w:sz w:val="18"/>
                <w:szCs w:val="18"/>
              </w:rPr>
              <w:t xml:space="preserve">4 </w:t>
            </w:r>
            <w:proofErr w:type="spellStart"/>
            <w:r>
              <w:rPr>
                <w:sz w:val="18"/>
                <w:szCs w:val="18"/>
              </w:rPr>
              <w:t>ρότορες</w:t>
            </w:r>
            <w:proofErr w:type="spellEnd"/>
          </w:p>
        </w:tc>
        <w:tc>
          <w:tcPr>
            <w:tcW w:w="3500" w:type="dxa"/>
            <w:tcMar>
              <w:top w:w="60" w:type="dxa"/>
              <w:left w:w="100" w:type="dxa"/>
              <w:bottom w:w="60" w:type="dxa"/>
              <w:right w:w="100" w:type="dxa"/>
            </w:tcMar>
            <w:vAlign w:val="center"/>
          </w:tcPr>
          <w:p w14:paraId="2EF09168" w14:textId="77777777" w:rsidR="00DE3C3C" w:rsidRDefault="003C7DFB" w:rsidP="00535231">
            <w:pPr>
              <w:spacing w:after="0" w:line="240" w:lineRule="auto"/>
              <w:jc w:val="center"/>
              <w:rPr>
                <w:sz w:val="18"/>
                <w:szCs w:val="18"/>
              </w:rPr>
            </w:pPr>
            <w:r>
              <w:rPr>
                <w:sz w:val="18"/>
                <w:szCs w:val="18"/>
              </w:rPr>
              <w:t>Βόρεια Ευρώπη, Ατλαντικός, Μεσόγειος</w:t>
            </w:r>
          </w:p>
        </w:tc>
        <w:tc>
          <w:tcPr>
            <w:tcW w:w="1740" w:type="dxa"/>
            <w:tcMar>
              <w:top w:w="60" w:type="dxa"/>
              <w:left w:w="100" w:type="dxa"/>
              <w:bottom w:w="60" w:type="dxa"/>
              <w:right w:w="100" w:type="dxa"/>
            </w:tcMar>
            <w:vAlign w:val="center"/>
          </w:tcPr>
          <w:p w14:paraId="5E070265" w14:textId="77777777" w:rsidR="00DE3C3C" w:rsidRDefault="003C7DFB" w:rsidP="00535231">
            <w:pPr>
              <w:spacing w:after="0" w:line="240" w:lineRule="auto"/>
              <w:jc w:val="center"/>
              <w:rPr>
                <w:sz w:val="18"/>
                <w:szCs w:val="18"/>
              </w:rPr>
            </w:pPr>
            <w:r>
              <w:rPr>
                <w:sz w:val="18"/>
                <w:szCs w:val="18"/>
              </w:rPr>
              <w:t>15%</w:t>
            </w:r>
          </w:p>
        </w:tc>
      </w:tr>
      <w:tr w:rsidR="00DE3C3C" w14:paraId="6E024DB6" w14:textId="77777777">
        <w:trPr>
          <w:cantSplit/>
          <w:jc w:val="center"/>
        </w:trPr>
        <w:tc>
          <w:tcPr>
            <w:tcW w:w="1900" w:type="dxa"/>
            <w:tcMar>
              <w:top w:w="60" w:type="dxa"/>
              <w:left w:w="100" w:type="dxa"/>
              <w:bottom w:w="60" w:type="dxa"/>
              <w:right w:w="100" w:type="dxa"/>
            </w:tcMar>
            <w:vAlign w:val="center"/>
          </w:tcPr>
          <w:p w14:paraId="1AE7A2FC" w14:textId="77777777" w:rsidR="00DE3C3C" w:rsidRDefault="003C7DFB" w:rsidP="00535231">
            <w:pPr>
              <w:spacing w:after="0" w:line="240" w:lineRule="auto"/>
              <w:jc w:val="center"/>
              <w:rPr>
                <w:sz w:val="18"/>
                <w:szCs w:val="18"/>
              </w:rPr>
            </w:pPr>
            <w:proofErr w:type="spellStart"/>
            <w:r>
              <w:rPr>
                <w:sz w:val="18"/>
                <w:szCs w:val="18"/>
              </w:rPr>
              <w:t>Estraden</w:t>
            </w:r>
            <w:proofErr w:type="spellEnd"/>
          </w:p>
        </w:tc>
        <w:tc>
          <w:tcPr>
            <w:tcW w:w="1500" w:type="dxa"/>
            <w:tcMar>
              <w:top w:w="60" w:type="dxa"/>
              <w:left w:w="100" w:type="dxa"/>
              <w:bottom w:w="60" w:type="dxa"/>
              <w:right w:w="100" w:type="dxa"/>
            </w:tcMar>
            <w:vAlign w:val="center"/>
          </w:tcPr>
          <w:p w14:paraId="43645BBD" w14:textId="77777777" w:rsidR="00DE3C3C" w:rsidRDefault="003C7DFB" w:rsidP="00535231">
            <w:pPr>
              <w:spacing w:after="0" w:line="240" w:lineRule="auto"/>
              <w:jc w:val="center"/>
              <w:rPr>
                <w:sz w:val="18"/>
                <w:szCs w:val="18"/>
              </w:rPr>
            </w:pPr>
            <w:r>
              <w:rPr>
                <w:sz w:val="18"/>
                <w:szCs w:val="18"/>
              </w:rPr>
              <w:t xml:space="preserve">2 </w:t>
            </w:r>
            <w:proofErr w:type="spellStart"/>
            <w:r>
              <w:rPr>
                <w:sz w:val="18"/>
                <w:szCs w:val="18"/>
              </w:rPr>
              <w:t>ρότορες</w:t>
            </w:r>
            <w:proofErr w:type="spellEnd"/>
          </w:p>
        </w:tc>
        <w:tc>
          <w:tcPr>
            <w:tcW w:w="3500" w:type="dxa"/>
            <w:tcMar>
              <w:top w:w="60" w:type="dxa"/>
              <w:left w:w="100" w:type="dxa"/>
              <w:bottom w:w="60" w:type="dxa"/>
              <w:right w:w="100" w:type="dxa"/>
            </w:tcMar>
            <w:vAlign w:val="center"/>
          </w:tcPr>
          <w:p w14:paraId="7C20325B" w14:textId="77777777" w:rsidR="00DE3C3C" w:rsidRDefault="003C7DFB" w:rsidP="00535231">
            <w:pPr>
              <w:spacing w:after="0" w:line="240" w:lineRule="auto"/>
              <w:jc w:val="center"/>
              <w:rPr>
                <w:sz w:val="18"/>
                <w:szCs w:val="18"/>
              </w:rPr>
            </w:pPr>
            <w:proofErr w:type="spellStart"/>
            <w:r>
              <w:rPr>
                <w:sz w:val="18"/>
                <w:szCs w:val="18"/>
              </w:rPr>
              <w:t>Teesport</w:t>
            </w:r>
            <w:proofErr w:type="spellEnd"/>
            <w:r>
              <w:rPr>
                <w:sz w:val="18"/>
                <w:szCs w:val="18"/>
              </w:rPr>
              <w:t>–</w:t>
            </w:r>
            <w:proofErr w:type="spellStart"/>
            <w:r>
              <w:rPr>
                <w:sz w:val="18"/>
                <w:szCs w:val="18"/>
              </w:rPr>
              <w:t>Zeebrugge</w:t>
            </w:r>
            <w:proofErr w:type="spellEnd"/>
            <w:r>
              <w:rPr>
                <w:sz w:val="18"/>
                <w:szCs w:val="18"/>
              </w:rPr>
              <w:t xml:space="preserve"> (</w:t>
            </w:r>
            <w:proofErr w:type="spellStart"/>
            <w:r>
              <w:rPr>
                <w:sz w:val="18"/>
                <w:szCs w:val="18"/>
              </w:rPr>
              <w:t>ro-ro</w:t>
            </w:r>
            <w:proofErr w:type="spellEnd"/>
            <w:r>
              <w:rPr>
                <w:sz w:val="18"/>
                <w:szCs w:val="18"/>
              </w:rPr>
              <w:t>)</w:t>
            </w:r>
          </w:p>
        </w:tc>
        <w:tc>
          <w:tcPr>
            <w:tcW w:w="1740" w:type="dxa"/>
            <w:tcMar>
              <w:top w:w="60" w:type="dxa"/>
              <w:left w:w="100" w:type="dxa"/>
              <w:bottom w:w="60" w:type="dxa"/>
              <w:right w:w="100" w:type="dxa"/>
            </w:tcMar>
            <w:vAlign w:val="center"/>
          </w:tcPr>
          <w:p w14:paraId="7A38BEF2" w14:textId="54C6A1FB" w:rsidR="00DE3C3C" w:rsidRDefault="003C7DFB" w:rsidP="00535231">
            <w:pPr>
              <w:spacing w:after="0" w:line="240" w:lineRule="auto"/>
              <w:jc w:val="center"/>
              <w:rPr>
                <w:sz w:val="18"/>
                <w:szCs w:val="18"/>
              </w:rPr>
            </w:pPr>
            <w:r>
              <w:rPr>
                <w:sz w:val="18"/>
                <w:szCs w:val="18"/>
              </w:rPr>
              <w:t>6</w:t>
            </w:r>
            <w:r w:rsidR="00083B9E">
              <w:rPr>
                <w:sz w:val="18"/>
                <w:szCs w:val="18"/>
              </w:rPr>
              <w:t>,</w:t>
            </w:r>
            <w:r>
              <w:rPr>
                <w:sz w:val="18"/>
                <w:szCs w:val="18"/>
              </w:rPr>
              <w:t>1%</w:t>
            </w:r>
          </w:p>
        </w:tc>
      </w:tr>
      <w:tr w:rsidR="00DE3C3C" w14:paraId="7F6C0D99" w14:textId="77777777">
        <w:trPr>
          <w:cantSplit/>
          <w:jc w:val="center"/>
        </w:trPr>
        <w:tc>
          <w:tcPr>
            <w:tcW w:w="1900" w:type="dxa"/>
            <w:tcMar>
              <w:top w:w="60" w:type="dxa"/>
              <w:left w:w="100" w:type="dxa"/>
              <w:bottom w:w="60" w:type="dxa"/>
              <w:right w:w="100" w:type="dxa"/>
            </w:tcMar>
            <w:vAlign w:val="center"/>
          </w:tcPr>
          <w:p w14:paraId="696C2C6F" w14:textId="77777777" w:rsidR="00DE3C3C" w:rsidRDefault="003C7DFB" w:rsidP="00535231">
            <w:pPr>
              <w:spacing w:after="0" w:line="240" w:lineRule="auto"/>
              <w:jc w:val="center"/>
              <w:rPr>
                <w:sz w:val="18"/>
                <w:szCs w:val="18"/>
              </w:rPr>
            </w:pPr>
            <w:proofErr w:type="spellStart"/>
            <w:r>
              <w:rPr>
                <w:sz w:val="18"/>
                <w:szCs w:val="18"/>
              </w:rPr>
              <w:t>Copenhagen</w:t>
            </w:r>
            <w:proofErr w:type="spellEnd"/>
            <w:r>
              <w:rPr>
                <w:sz w:val="18"/>
                <w:szCs w:val="18"/>
              </w:rPr>
              <w:t xml:space="preserve">, </w:t>
            </w:r>
            <w:proofErr w:type="spellStart"/>
            <w:r>
              <w:rPr>
                <w:sz w:val="18"/>
                <w:szCs w:val="18"/>
              </w:rPr>
              <w:t>Berlin</w:t>
            </w:r>
            <w:proofErr w:type="spellEnd"/>
          </w:p>
        </w:tc>
        <w:tc>
          <w:tcPr>
            <w:tcW w:w="1500" w:type="dxa"/>
            <w:tcMar>
              <w:top w:w="60" w:type="dxa"/>
              <w:left w:w="100" w:type="dxa"/>
              <w:bottom w:w="60" w:type="dxa"/>
              <w:right w:w="100" w:type="dxa"/>
            </w:tcMar>
            <w:vAlign w:val="center"/>
          </w:tcPr>
          <w:p w14:paraId="75F19F1F" w14:textId="77777777" w:rsidR="00DE3C3C" w:rsidRDefault="003C7DFB" w:rsidP="00535231">
            <w:pPr>
              <w:spacing w:after="0" w:line="240" w:lineRule="auto"/>
              <w:jc w:val="center"/>
              <w:rPr>
                <w:sz w:val="18"/>
                <w:szCs w:val="18"/>
              </w:rPr>
            </w:pPr>
            <w:r>
              <w:rPr>
                <w:sz w:val="18"/>
                <w:szCs w:val="18"/>
              </w:rPr>
              <w:t xml:space="preserve">1 </w:t>
            </w:r>
            <w:proofErr w:type="spellStart"/>
            <w:r>
              <w:rPr>
                <w:sz w:val="18"/>
                <w:szCs w:val="18"/>
              </w:rPr>
              <w:t>ρότορας</w:t>
            </w:r>
            <w:proofErr w:type="spellEnd"/>
          </w:p>
        </w:tc>
        <w:tc>
          <w:tcPr>
            <w:tcW w:w="3500" w:type="dxa"/>
            <w:tcMar>
              <w:top w:w="60" w:type="dxa"/>
              <w:left w:w="100" w:type="dxa"/>
              <w:bottom w:w="60" w:type="dxa"/>
              <w:right w:w="100" w:type="dxa"/>
            </w:tcMar>
            <w:vAlign w:val="center"/>
          </w:tcPr>
          <w:p w14:paraId="517271AE" w14:textId="77777777" w:rsidR="00DE3C3C" w:rsidRDefault="003C7DFB" w:rsidP="00535231">
            <w:pPr>
              <w:spacing w:after="0" w:line="240" w:lineRule="auto"/>
              <w:jc w:val="center"/>
              <w:rPr>
                <w:sz w:val="18"/>
                <w:szCs w:val="18"/>
              </w:rPr>
            </w:pPr>
            <w:proofErr w:type="spellStart"/>
            <w:r>
              <w:rPr>
                <w:sz w:val="18"/>
                <w:szCs w:val="18"/>
              </w:rPr>
              <w:t>Rostock</w:t>
            </w:r>
            <w:proofErr w:type="spellEnd"/>
            <w:r>
              <w:rPr>
                <w:sz w:val="18"/>
                <w:szCs w:val="18"/>
              </w:rPr>
              <w:t>–</w:t>
            </w:r>
            <w:proofErr w:type="spellStart"/>
            <w:r>
              <w:rPr>
                <w:sz w:val="18"/>
                <w:szCs w:val="18"/>
              </w:rPr>
              <w:t>Gedser</w:t>
            </w:r>
            <w:proofErr w:type="spellEnd"/>
            <w:r>
              <w:rPr>
                <w:sz w:val="18"/>
                <w:szCs w:val="18"/>
              </w:rPr>
              <w:t xml:space="preserve"> (πορθμείο)</w:t>
            </w:r>
          </w:p>
        </w:tc>
        <w:tc>
          <w:tcPr>
            <w:tcW w:w="1740" w:type="dxa"/>
            <w:tcMar>
              <w:top w:w="60" w:type="dxa"/>
              <w:left w:w="100" w:type="dxa"/>
              <w:bottom w:w="60" w:type="dxa"/>
              <w:right w:w="100" w:type="dxa"/>
            </w:tcMar>
            <w:vAlign w:val="center"/>
          </w:tcPr>
          <w:p w14:paraId="2E7FFF25" w14:textId="77777777" w:rsidR="00DE3C3C" w:rsidRDefault="003C7DFB" w:rsidP="00535231">
            <w:pPr>
              <w:spacing w:after="0" w:line="240" w:lineRule="auto"/>
              <w:jc w:val="center"/>
              <w:rPr>
                <w:sz w:val="18"/>
                <w:szCs w:val="18"/>
              </w:rPr>
            </w:pPr>
            <w:r>
              <w:rPr>
                <w:sz w:val="18"/>
                <w:szCs w:val="18"/>
              </w:rPr>
              <w:t>4%</w:t>
            </w:r>
          </w:p>
        </w:tc>
      </w:tr>
      <w:tr w:rsidR="00DE3C3C" w14:paraId="1953C81D" w14:textId="77777777">
        <w:trPr>
          <w:cantSplit/>
          <w:jc w:val="center"/>
        </w:trPr>
        <w:tc>
          <w:tcPr>
            <w:tcW w:w="1900" w:type="dxa"/>
            <w:tcMar>
              <w:top w:w="60" w:type="dxa"/>
              <w:left w:w="100" w:type="dxa"/>
              <w:bottom w:w="60" w:type="dxa"/>
              <w:right w:w="100" w:type="dxa"/>
            </w:tcMar>
            <w:vAlign w:val="center"/>
          </w:tcPr>
          <w:p w14:paraId="6F529AA5" w14:textId="77777777" w:rsidR="00DE3C3C" w:rsidRDefault="003C7DFB" w:rsidP="00535231">
            <w:pPr>
              <w:spacing w:after="0" w:line="240" w:lineRule="auto"/>
              <w:jc w:val="center"/>
              <w:rPr>
                <w:sz w:val="18"/>
                <w:szCs w:val="18"/>
              </w:rPr>
            </w:pPr>
            <w:proofErr w:type="spellStart"/>
            <w:r>
              <w:rPr>
                <w:sz w:val="18"/>
                <w:szCs w:val="18"/>
              </w:rPr>
              <w:t>Maersk</w:t>
            </w:r>
            <w:proofErr w:type="spellEnd"/>
            <w:r>
              <w:rPr>
                <w:sz w:val="18"/>
                <w:szCs w:val="18"/>
              </w:rPr>
              <w:t xml:space="preserve"> </w:t>
            </w:r>
            <w:proofErr w:type="spellStart"/>
            <w:r>
              <w:rPr>
                <w:sz w:val="18"/>
                <w:szCs w:val="18"/>
              </w:rPr>
              <w:t>Pelican</w:t>
            </w:r>
            <w:proofErr w:type="spellEnd"/>
          </w:p>
        </w:tc>
        <w:tc>
          <w:tcPr>
            <w:tcW w:w="1500" w:type="dxa"/>
            <w:tcMar>
              <w:top w:w="60" w:type="dxa"/>
              <w:left w:w="100" w:type="dxa"/>
              <w:bottom w:w="60" w:type="dxa"/>
              <w:right w:w="100" w:type="dxa"/>
            </w:tcMar>
            <w:vAlign w:val="center"/>
          </w:tcPr>
          <w:p w14:paraId="4F0393B7" w14:textId="77777777" w:rsidR="00DE3C3C" w:rsidRDefault="003C7DFB" w:rsidP="00535231">
            <w:pPr>
              <w:spacing w:after="0" w:line="240" w:lineRule="auto"/>
              <w:jc w:val="center"/>
              <w:rPr>
                <w:sz w:val="18"/>
                <w:szCs w:val="18"/>
              </w:rPr>
            </w:pPr>
            <w:r>
              <w:rPr>
                <w:sz w:val="18"/>
                <w:szCs w:val="18"/>
              </w:rPr>
              <w:t xml:space="preserve">2 </w:t>
            </w:r>
            <w:proofErr w:type="spellStart"/>
            <w:r>
              <w:rPr>
                <w:sz w:val="18"/>
                <w:szCs w:val="18"/>
              </w:rPr>
              <w:t>ρότορες</w:t>
            </w:r>
            <w:proofErr w:type="spellEnd"/>
          </w:p>
        </w:tc>
        <w:tc>
          <w:tcPr>
            <w:tcW w:w="3500" w:type="dxa"/>
            <w:tcMar>
              <w:top w:w="60" w:type="dxa"/>
              <w:left w:w="100" w:type="dxa"/>
              <w:bottom w:w="60" w:type="dxa"/>
              <w:right w:w="100" w:type="dxa"/>
            </w:tcMar>
            <w:vAlign w:val="center"/>
          </w:tcPr>
          <w:p w14:paraId="5746C359" w14:textId="77777777" w:rsidR="00DE3C3C" w:rsidRDefault="003C7DFB" w:rsidP="00535231">
            <w:pPr>
              <w:spacing w:after="0" w:line="240" w:lineRule="auto"/>
              <w:jc w:val="center"/>
              <w:rPr>
                <w:sz w:val="18"/>
                <w:szCs w:val="18"/>
              </w:rPr>
            </w:pPr>
            <w:r>
              <w:rPr>
                <w:sz w:val="18"/>
                <w:szCs w:val="18"/>
              </w:rPr>
              <w:t>Ευρώπη, Μέση Ανατολή, Ασία, Αυστραλία (δεξαμενόπλοιο)</w:t>
            </w:r>
          </w:p>
        </w:tc>
        <w:tc>
          <w:tcPr>
            <w:tcW w:w="1740" w:type="dxa"/>
            <w:tcMar>
              <w:top w:w="60" w:type="dxa"/>
              <w:left w:w="100" w:type="dxa"/>
              <w:bottom w:w="60" w:type="dxa"/>
              <w:right w:w="100" w:type="dxa"/>
            </w:tcMar>
            <w:vAlign w:val="center"/>
          </w:tcPr>
          <w:p w14:paraId="50C10E70" w14:textId="4C884B3E" w:rsidR="00DE3C3C" w:rsidRDefault="003C7DFB" w:rsidP="00535231">
            <w:pPr>
              <w:spacing w:after="0" w:line="240" w:lineRule="auto"/>
              <w:jc w:val="center"/>
              <w:rPr>
                <w:sz w:val="18"/>
                <w:szCs w:val="18"/>
              </w:rPr>
            </w:pPr>
            <w:r>
              <w:rPr>
                <w:sz w:val="18"/>
                <w:szCs w:val="18"/>
              </w:rPr>
              <w:t>8</w:t>
            </w:r>
            <w:r w:rsidR="00083B9E">
              <w:rPr>
                <w:sz w:val="18"/>
                <w:szCs w:val="18"/>
              </w:rPr>
              <w:t>,</w:t>
            </w:r>
            <w:r>
              <w:rPr>
                <w:sz w:val="18"/>
                <w:szCs w:val="18"/>
              </w:rPr>
              <w:t>2%</w:t>
            </w:r>
          </w:p>
        </w:tc>
      </w:tr>
      <w:tr w:rsidR="00DE3C3C" w14:paraId="51394A86" w14:textId="77777777">
        <w:trPr>
          <w:cantSplit/>
          <w:jc w:val="center"/>
        </w:trPr>
        <w:tc>
          <w:tcPr>
            <w:tcW w:w="1900" w:type="dxa"/>
            <w:tcMar>
              <w:top w:w="60" w:type="dxa"/>
              <w:left w:w="100" w:type="dxa"/>
              <w:bottom w:w="60" w:type="dxa"/>
              <w:right w:w="100" w:type="dxa"/>
            </w:tcMar>
            <w:vAlign w:val="center"/>
          </w:tcPr>
          <w:p w14:paraId="3E30C9D1" w14:textId="77777777" w:rsidR="00DE3C3C" w:rsidRDefault="003C7DFB" w:rsidP="00535231">
            <w:pPr>
              <w:spacing w:after="0" w:line="240" w:lineRule="auto"/>
              <w:jc w:val="center"/>
              <w:rPr>
                <w:sz w:val="18"/>
                <w:szCs w:val="18"/>
              </w:rPr>
            </w:pPr>
            <w:proofErr w:type="spellStart"/>
            <w:r>
              <w:rPr>
                <w:sz w:val="18"/>
                <w:szCs w:val="18"/>
              </w:rPr>
              <w:t>Annika</w:t>
            </w:r>
            <w:proofErr w:type="spellEnd"/>
            <w:r>
              <w:rPr>
                <w:sz w:val="18"/>
                <w:szCs w:val="18"/>
              </w:rPr>
              <w:t xml:space="preserve"> </w:t>
            </w:r>
            <w:proofErr w:type="spellStart"/>
            <w:r>
              <w:rPr>
                <w:sz w:val="18"/>
                <w:szCs w:val="18"/>
              </w:rPr>
              <w:t>Braren</w:t>
            </w:r>
            <w:proofErr w:type="spellEnd"/>
          </w:p>
        </w:tc>
        <w:tc>
          <w:tcPr>
            <w:tcW w:w="1500" w:type="dxa"/>
            <w:tcMar>
              <w:top w:w="60" w:type="dxa"/>
              <w:left w:w="100" w:type="dxa"/>
              <w:bottom w:w="60" w:type="dxa"/>
              <w:right w:w="100" w:type="dxa"/>
            </w:tcMar>
            <w:vAlign w:val="center"/>
          </w:tcPr>
          <w:p w14:paraId="70BB2320" w14:textId="77777777" w:rsidR="00DE3C3C" w:rsidRDefault="003C7DFB" w:rsidP="00535231">
            <w:pPr>
              <w:spacing w:after="0" w:line="240" w:lineRule="auto"/>
              <w:jc w:val="center"/>
              <w:rPr>
                <w:sz w:val="18"/>
                <w:szCs w:val="18"/>
              </w:rPr>
            </w:pPr>
            <w:r>
              <w:rPr>
                <w:sz w:val="18"/>
                <w:szCs w:val="18"/>
              </w:rPr>
              <w:t xml:space="preserve">1 </w:t>
            </w:r>
            <w:proofErr w:type="spellStart"/>
            <w:r>
              <w:rPr>
                <w:sz w:val="18"/>
                <w:szCs w:val="18"/>
              </w:rPr>
              <w:t>ρότορας</w:t>
            </w:r>
            <w:proofErr w:type="spellEnd"/>
          </w:p>
        </w:tc>
        <w:tc>
          <w:tcPr>
            <w:tcW w:w="3500" w:type="dxa"/>
            <w:tcMar>
              <w:top w:w="60" w:type="dxa"/>
              <w:left w:w="100" w:type="dxa"/>
              <w:bottom w:w="60" w:type="dxa"/>
              <w:right w:w="100" w:type="dxa"/>
            </w:tcMar>
            <w:vAlign w:val="center"/>
          </w:tcPr>
          <w:p w14:paraId="563F7869" w14:textId="77777777" w:rsidR="00DE3C3C" w:rsidRDefault="003C7DFB" w:rsidP="00535231">
            <w:pPr>
              <w:spacing w:after="0" w:line="240" w:lineRule="auto"/>
              <w:jc w:val="center"/>
              <w:rPr>
                <w:sz w:val="18"/>
                <w:szCs w:val="18"/>
              </w:rPr>
            </w:pPr>
            <w:r>
              <w:rPr>
                <w:sz w:val="18"/>
                <w:szCs w:val="18"/>
              </w:rPr>
              <w:t>Βόρεια Θάλασσα</w:t>
            </w:r>
          </w:p>
        </w:tc>
        <w:tc>
          <w:tcPr>
            <w:tcW w:w="1740" w:type="dxa"/>
            <w:tcMar>
              <w:top w:w="60" w:type="dxa"/>
              <w:left w:w="100" w:type="dxa"/>
              <w:bottom w:w="60" w:type="dxa"/>
              <w:right w:w="100" w:type="dxa"/>
            </w:tcMar>
            <w:vAlign w:val="center"/>
          </w:tcPr>
          <w:p w14:paraId="5BFB42AA" w14:textId="658F6796" w:rsidR="00DE3C3C" w:rsidRDefault="003C7DFB" w:rsidP="00535231">
            <w:pPr>
              <w:spacing w:after="0" w:line="240" w:lineRule="auto"/>
              <w:jc w:val="center"/>
              <w:rPr>
                <w:sz w:val="18"/>
                <w:szCs w:val="18"/>
              </w:rPr>
            </w:pPr>
            <w:r>
              <w:rPr>
                <w:sz w:val="18"/>
                <w:szCs w:val="18"/>
              </w:rPr>
              <w:t>2–4</w:t>
            </w:r>
            <w:r w:rsidR="00083B9E">
              <w:rPr>
                <w:sz w:val="18"/>
                <w:szCs w:val="18"/>
              </w:rPr>
              <w:t>,</w:t>
            </w:r>
            <w:r>
              <w:rPr>
                <w:sz w:val="18"/>
                <w:szCs w:val="18"/>
              </w:rPr>
              <w:t>5%</w:t>
            </w:r>
          </w:p>
        </w:tc>
      </w:tr>
      <w:tr w:rsidR="00DE3C3C" w14:paraId="2302707D" w14:textId="77777777">
        <w:trPr>
          <w:cantSplit/>
          <w:jc w:val="center"/>
        </w:trPr>
        <w:tc>
          <w:tcPr>
            <w:tcW w:w="1900" w:type="dxa"/>
            <w:tcMar>
              <w:top w:w="60" w:type="dxa"/>
              <w:left w:w="100" w:type="dxa"/>
              <w:bottom w:w="60" w:type="dxa"/>
              <w:right w:w="100" w:type="dxa"/>
            </w:tcMar>
            <w:vAlign w:val="center"/>
          </w:tcPr>
          <w:p w14:paraId="1DECDD8F" w14:textId="77777777" w:rsidR="00DE3C3C" w:rsidRDefault="003C7DFB" w:rsidP="00535231">
            <w:pPr>
              <w:spacing w:after="0" w:line="240" w:lineRule="auto"/>
              <w:jc w:val="center"/>
              <w:rPr>
                <w:sz w:val="18"/>
                <w:szCs w:val="18"/>
              </w:rPr>
            </w:pPr>
            <w:proofErr w:type="spellStart"/>
            <w:r>
              <w:rPr>
                <w:sz w:val="18"/>
                <w:szCs w:val="18"/>
              </w:rPr>
              <w:t>Afros</w:t>
            </w:r>
            <w:proofErr w:type="spellEnd"/>
          </w:p>
        </w:tc>
        <w:tc>
          <w:tcPr>
            <w:tcW w:w="1500" w:type="dxa"/>
            <w:tcMar>
              <w:top w:w="60" w:type="dxa"/>
              <w:left w:w="100" w:type="dxa"/>
              <w:bottom w:w="60" w:type="dxa"/>
              <w:right w:w="100" w:type="dxa"/>
            </w:tcMar>
            <w:vAlign w:val="center"/>
          </w:tcPr>
          <w:p w14:paraId="22FC797D" w14:textId="77777777" w:rsidR="00DE3C3C" w:rsidRDefault="003C7DFB" w:rsidP="00535231">
            <w:pPr>
              <w:spacing w:after="0" w:line="240" w:lineRule="auto"/>
              <w:jc w:val="center"/>
              <w:rPr>
                <w:sz w:val="18"/>
                <w:szCs w:val="18"/>
              </w:rPr>
            </w:pPr>
            <w:r>
              <w:rPr>
                <w:sz w:val="18"/>
                <w:szCs w:val="18"/>
              </w:rPr>
              <w:t xml:space="preserve">4 </w:t>
            </w:r>
            <w:proofErr w:type="spellStart"/>
            <w:r>
              <w:rPr>
                <w:sz w:val="18"/>
                <w:szCs w:val="18"/>
              </w:rPr>
              <w:t>ρότορες</w:t>
            </w:r>
            <w:proofErr w:type="spellEnd"/>
          </w:p>
        </w:tc>
        <w:tc>
          <w:tcPr>
            <w:tcW w:w="3500" w:type="dxa"/>
            <w:tcMar>
              <w:top w:w="60" w:type="dxa"/>
              <w:left w:w="100" w:type="dxa"/>
              <w:bottom w:w="60" w:type="dxa"/>
              <w:right w:w="100" w:type="dxa"/>
            </w:tcMar>
            <w:vAlign w:val="center"/>
          </w:tcPr>
          <w:p w14:paraId="4ACD6F46" w14:textId="2346B41E" w:rsidR="00DE3C3C" w:rsidRDefault="003C7DFB" w:rsidP="00535231">
            <w:pPr>
              <w:spacing w:after="0" w:line="240" w:lineRule="auto"/>
              <w:jc w:val="center"/>
              <w:rPr>
                <w:sz w:val="18"/>
                <w:szCs w:val="18"/>
              </w:rPr>
            </w:pPr>
            <w:proofErr w:type="spellStart"/>
            <w:r>
              <w:rPr>
                <w:sz w:val="18"/>
                <w:szCs w:val="18"/>
              </w:rPr>
              <w:t>Nantong</w:t>
            </w:r>
            <w:proofErr w:type="spellEnd"/>
            <w:r>
              <w:rPr>
                <w:sz w:val="18"/>
                <w:szCs w:val="18"/>
              </w:rPr>
              <w:t>–</w:t>
            </w:r>
            <w:proofErr w:type="spellStart"/>
            <w:r>
              <w:rPr>
                <w:sz w:val="18"/>
                <w:szCs w:val="18"/>
              </w:rPr>
              <w:t>Vancouver</w:t>
            </w:r>
            <w:proofErr w:type="spellEnd"/>
            <w:r>
              <w:rPr>
                <w:sz w:val="18"/>
                <w:szCs w:val="18"/>
              </w:rPr>
              <w:t xml:space="preserve"> (φορτηγό πλοίο χύδην ξηρού φορτίου)</w:t>
            </w:r>
          </w:p>
        </w:tc>
        <w:tc>
          <w:tcPr>
            <w:tcW w:w="1740" w:type="dxa"/>
            <w:tcMar>
              <w:top w:w="60" w:type="dxa"/>
              <w:left w:w="100" w:type="dxa"/>
              <w:bottom w:w="60" w:type="dxa"/>
              <w:right w:w="100" w:type="dxa"/>
            </w:tcMar>
            <w:vAlign w:val="center"/>
          </w:tcPr>
          <w:p w14:paraId="4632B97B" w14:textId="2E3D2CB2" w:rsidR="00DE3C3C" w:rsidRDefault="003C7DFB" w:rsidP="00535231">
            <w:pPr>
              <w:spacing w:after="0" w:line="240" w:lineRule="auto"/>
              <w:jc w:val="center"/>
              <w:rPr>
                <w:sz w:val="18"/>
                <w:szCs w:val="18"/>
              </w:rPr>
            </w:pPr>
            <w:r>
              <w:rPr>
                <w:sz w:val="18"/>
                <w:szCs w:val="18"/>
              </w:rPr>
              <w:t>12</w:t>
            </w:r>
            <w:r w:rsidR="00083B9E">
              <w:rPr>
                <w:sz w:val="18"/>
                <w:szCs w:val="18"/>
              </w:rPr>
              <w:t>,</w:t>
            </w:r>
            <w:r>
              <w:rPr>
                <w:sz w:val="18"/>
                <w:szCs w:val="18"/>
              </w:rPr>
              <w:t>5%</w:t>
            </w:r>
          </w:p>
        </w:tc>
      </w:tr>
      <w:tr w:rsidR="00DE3C3C" w14:paraId="3C70D828" w14:textId="77777777">
        <w:trPr>
          <w:cantSplit/>
          <w:jc w:val="center"/>
        </w:trPr>
        <w:tc>
          <w:tcPr>
            <w:tcW w:w="1900" w:type="dxa"/>
            <w:tcMar>
              <w:top w:w="60" w:type="dxa"/>
              <w:left w:w="100" w:type="dxa"/>
              <w:bottom w:w="60" w:type="dxa"/>
              <w:right w:w="100" w:type="dxa"/>
            </w:tcMar>
            <w:vAlign w:val="center"/>
          </w:tcPr>
          <w:p w14:paraId="2FA225DB" w14:textId="77777777" w:rsidR="00DE3C3C" w:rsidRDefault="003C7DFB" w:rsidP="00535231">
            <w:pPr>
              <w:spacing w:after="0" w:line="240" w:lineRule="auto"/>
              <w:jc w:val="center"/>
              <w:rPr>
                <w:sz w:val="18"/>
                <w:szCs w:val="18"/>
              </w:rPr>
            </w:pPr>
            <w:r>
              <w:rPr>
                <w:sz w:val="18"/>
                <w:szCs w:val="18"/>
              </w:rPr>
              <w:t xml:space="preserve">Sea </w:t>
            </w:r>
            <w:proofErr w:type="spellStart"/>
            <w:r>
              <w:rPr>
                <w:sz w:val="18"/>
                <w:szCs w:val="18"/>
              </w:rPr>
              <w:t>Zhoushan</w:t>
            </w:r>
            <w:proofErr w:type="spellEnd"/>
          </w:p>
        </w:tc>
        <w:tc>
          <w:tcPr>
            <w:tcW w:w="1500" w:type="dxa"/>
            <w:tcMar>
              <w:top w:w="60" w:type="dxa"/>
              <w:left w:w="100" w:type="dxa"/>
              <w:bottom w:w="60" w:type="dxa"/>
              <w:right w:w="100" w:type="dxa"/>
            </w:tcMar>
            <w:vAlign w:val="center"/>
          </w:tcPr>
          <w:p w14:paraId="7A93101B" w14:textId="77777777" w:rsidR="00DE3C3C" w:rsidRDefault="003C7DFB" w:rsidP="00535231">
            <w:pPr>
              <w:spacing w:after="0" w:line="240" w:lineRule="auto"/>
              <w:jc w:val="center"/>
              <w:rPr>
                <w:sz w:val="18"/>
                <w:szCs w:val="18"/>
              </w:rPr>
            </w:pPr>
            <w:r>
              <w:rPr>
                <w:sz w:val="18"/>
                <w:szCs w:val="18"/>
              </w:rPr>
              <w:t xml:space="preserve">5 </w:t>
            </w:r>
            <w:proofErr w:type="spellStart"/>
            <w:r>
              <w:rPr>
                <w:sz w:val="18"/>
                <w:szCs w:val="18"/>
              </w:rPr>
              <w:t>ρότορες</w:t>
            </w:r>
            <w:proofErr w:type="spellEnd"/>
          </w:p>
        </w:tc>
        <w:tc>
          <w:tcPr>
            <w:tcW w:w="3500" w:type="dxa"/>
            <w:tcMar>
              <w:top w:w="60" w:type="dxa"/>
              <w:left w:w="100" w:type="dxa"/>
              <w:bottom w:w="60" w:type="dxa"/>
              <w:right w:w="100" w:type="dxa"/>
            </w:tcMar>
            <w:vAlign w:val="center"/>
          </w:tcPr>
          <w:p w14:paraId="76DDDBEF" w14:textId="77777777" w:rsidR="00DE3C3C" w:rsidRDefault="003C7DFB" w:rsidP="00535231">
            <w:pPr>
              <w:spacing w:after="0" w:line="240" w:lineRule="auto"/>
              <w:jc w:val="center"/>
              <w:rPr>
                <w:sz w:val="18"/>
                <w:szCs w:val="18"/>
              </w:rPr>
            </w:pPr>
            <w:r>
              <w:rPr>
                <w:sz w:val="18"/>
                <w:szCs w:val="18"/>
              </w:rPr>
              <w:t>Κίνα–Βραζιλία</w:t>
            </w:r>
          </w:p>
        </w:tc>
        <w:tc>
          <w:tcPr>
            <w:tcW w:w="1740" w:type="dxa"/>
            <w:tcMar>
              <w:top w:w="60" w:type="dxa"/>
              <w:left w:w="100" w:type="dxa"/>
              <w:bottom w:w="60" w:type="dxa"/>
              <w:right w:w="100" w:type="dxa"/>
            </w:tcMar>
            <w:vAlign w:val="center"/>
          </w:tcPr>
          <w:p w14:paraId="384B510B" w14:textId="77777777" w:rsidR="00DE3C3C" w:rsidRDefault="003C7DFB" w:rsidP="00535231">
            <w:pPr>
              <w:spacing w:after="0" w:line="240" w:lineRule="auto"/>
              <w:jc w:val="center"/>
              <w:rPr>
                <w:sz w:val="18"/>
                <w:szCs w:val="18"/>
              </w:rPr>
            </w:pPr>
            <w:r>
              <w:rPr>
                <w:sz w:val="18"/>
                <w:szCs w:val="18"/>
              </w:rPr>
              <w:t>8%</w:t>
            </w:r>
          </w:p>
        </w:tc>
      </w:tr>
      <w:tr w:rsidR="00DE3C3C" w14:paraId="01083D06" w14:textId="77777777">
        <w:trPr>
          <w:cantSplit/>
          <w:jc w:val="center"/>
        </w:trPr>
        <w:tc>
          <w:tcPr>
            <w:tcW w:w="1900" w:type="dxa"/>
            <w:tcMar>
              <w:top w:w="60" w:type="dxa"/>
              <w:left w:w="100" w:type="dxa"/>
              <w:bottom w:w="60" w:type="dxa"/>
              <w:right w:w="100" w:type="dxa"/>
            </w:tcMar>
            <w:vAlign w:val="center"/>
          </w:tcPr>
          <w:p w14:paraId="5021431B" w14:textId="77777777" w:rsidR="00DE3C3C" w:rsidRDefault="003C7DFB" w:rsidP="00535231">
            <w:pPr>
              <w:spacing w:after="0" w:line="240" w:lineRule="auto"/>
              <w:jc w:val="center"/>
              <w:rPr>
                <w:sz w:val="18"/>
                <w:szCs w:val="18"/>
              </w:rPr>
            </w:pPr>
            <w:proofErr w:type="spellStart"/>
            <w:r>
              <w:rPr>
                <w:sz w:val="18"/>
                <w:szCs w:val="18"/>
              </w:rPr>
              <w:t>Pyxis</w:t>
            </w:r>
            <w:proofErr w:type="spellEnd"/>
            <w:r>
              <w:rPr>
                <w:sz w:val="18"/>
                <w:szCs w:val="18"/>
              </w:rPr>
              <w:t xml:space="preserve"> </w:t>
            </w:r>
            <w:proofErr w:type="spellStart"/>
            <w:r>
              <w:rPr>
                <w:sz w:val="18"/>
                <w:szCs w:val="18"/>
              </w:rPr>
              <w:t>Ocean</w:t>
            </w:r>
            <w:proofErr w:type="spellEnd"/>
          </w:p>
        </w:tc>
        <w:tc>
          <w:tcPr>
            <w:tcW w:w="1500" w:type="dxa"/>
            <w:tcMar>
              <w:top w:w="60" w:type="dxa"/>
              <w:left w:w="100" w:type="dxa"/>
              <w:bottom w:w="60" w:type="dxa"/>
              <w:right w:w="100" w:type="dxa"/>
            </w:tcMar>
            <w:vAlign w:val="center"/>
          </w:tcPr>
          <w:p w14:paraId="27185513" w14:textId="77777777" w:rsidR="00DE3C3C" w:rsidRDefault="003C7DFB" w:rsidP="00535231">
            <w:pPr>
              <w:spacing w:after="0" w:line="240" w:lineRule="auto"/>
              <w:jc w:val="center"/>
              <w:rPr>
                <w:sz w:val="18"/>
                <w:szCs w:val="18"/>
              </w:rPr>
            </w:pPr>
            <w:r>
              <w:rPr>
                <w:sz w:val="18"/>
                <w:szCs w:val="18"/>
              </w:rPr>
              <w:t>2 πτερυγοειδή ιστία</w:t>
            </w:r>
          </w:p>
        </w:tc>
        <w:tc>
          <w:tcPr>
            <w:tcW w:w="3500" w:type="dxa"/>
            <w:tcMar>
              <w:top w:w="60" w:type="dxa"/>
              <w:left w:w="100" w:type="dxa"/>
              <w:bottom w:w="60" w:type="dxa"/>
              <w:right w:w="100" w:type="dxa"/>
            </w:tcMar>
            <w:vAlign w:val="center"/>
          </w:tcPr>
          <w:p w14:paraId="6B8493D0" w14:textId="77777777" w:rsidR="00DE3C3C" w:rsidRDefault="003C7DFB" w:rsidP="00535231">
            <w:pPr>
              <w:spacing w:after="0" w:line="240" w:lineRule="auto"/>
              <w:jc w:val="center"/>
              <w:rPr>
                <w:sz w:val="18"/>
                <w:szCs w:val="18"/>
              </w:rPr>
            </w:pPr>
            <w:r>
              <w:rPr>
                <w:sz w:val="18"/>
                <w:szCs w:val="18"/>
              </w:rPr>
              <w:t>Ινδικός, Ειρηνικός και Ατλαντικός Ωκεανός</w:t>
            </w:r>
          </w:p>
        </w:tc>
        <w:tc>
          <w:tcPr>
            <w:tcW w:w="1740" w:type="dxa"/>
            <w:tcMar>
              <w:top w:w="60" w:type="dxa"/>
              <w:left w:w="100" w:type="dxa"/>
              <w:bottom w:w="60" w:type="dxa"/>
              <w:right w:w="100" w:type="dxa"/>
            </w:tcMar>
            <w:vAlign w:val="center"/>
          </w:tcPr>
          <w:p w14:paraId="58279191" w14:textId="77777777" w:rsidR="00DE3C3C" w:rsidRDefault="003C7DFB" w:rsidP="00535231">
            <w:pPr>
              <w:spacing w:after="0" w:line="240" w:lineRule="auto"/>
              <w:jc w:val="center"/>
              <w:rPr>
                <w:sz w:val="18"/>
                <w:szCs w:val="18"/>
              </w:rPr>
            </w:pPr>
            <w:r>
              <w:rPr>
                <w:sz w:val="18"/>
                <w:szCs w:val="18"/>
              </w:rPr>
              <w:t>14%</w:t>
            </w:r>
          </w:p>
        </w:tc>
      </w:tr>
      <w:tr w:rsidR="00DE3C3C" w14:paraId="1514EC1B" w14:textId="77777777">
        <w:trPr>
          <w:cantSplit/>
          <w:jc w:val="center"/>
        </w:trPr>
        <w:tc>
          <w:tcPr>
            <w:tcW w:w="1900" w:type="dxa"/>
            <w:tcMar>
              <w:top w:w="60" w:type="dxa"/>
              <w:left w:w="100" w:type="dxa"/>
              <w:bottom w:w="60" w:type="dxa"/>
              <w:right w:w="100" w:type="dxa"/>
            </w:tcMar>
            <w:vAlign w:val="center"/>
          </w:tcPr>
          <w:p w14:paraId="3419BE63" w14:textId="77777777" w:rsidR="00DE3C3C" w:rsidRDefault="003C7DFB" w:rsidP="00535231">
            <w:pPr>
              <w:spacing w:after="0" w:line="240" w:lineRule="auto"/>
              <w:jc w:val="center"/>
              <w:rPr>
                <w:sz w:val="18"/>
                <w:szCs w:val="18"/>
              </w:rPr>
            </w:pPr>
            <w:proofErr w:type="spellStart"/>
            <w:r>
              <w:rPr>
                <w:sz w:val="18"/>
                <w:szCs w:val="18"/>
              </w:rPr>
              <w:t>Frisian</w:t>
            </w:r>
            <w:proofErr w:type="spellEnd"/>
            <w:r>
              <w:rPr>
                <w:sz w:val="18"/>
                <w:szCs w:val="18"/>
              </w:rPr>
              <w:t xml:space="preserve"> Sea</w:t>
            </w:r>
          </w:p>
        </w:tc>
        <w:tc>
          <w:tcPr>
            <w:tcW w:w="1500" w:type="dxa"/>
            <w:tcMar>
              <w:top w:w="60" w:type="dxa"/>
              <w:left w:w="100" w:type="dxa"/>
              <w:bottom w:w="60" w:type="dxa"/>
              <w:right w:w="100" w:type="dxa"/>
            </w:tcMar>
            <w:vAlign w:val="center"/>
          </w:tcPr>
          <w:p w14:paraId="5AA9A013" w14:textId="77777777" w:rsidR="00DE3C3C" w:rsidRDefault="003C7DFB" w:rsidP="00535231">
            <w:pPr>
              <w:spacing w:after="0" w:line="240" w:lineRule="auto"/>
              <w:jc w:val="center"/>
              <w:rPr>
                <w:sz w:val="18"/>
                <w:szCs w:val="18"/>
              </w:rPr>
            </w:pPr>
            <w:r>
              <w:rPr>
                <w:sz w:val="18"/>
                <w:szCs w:val="18"/>
              </w:rPr>
              <w:t>2 πτέρυγες αναρρόφησης</w:t>
            </w:r>
          </w:p>
        </w:tc>
        <w:tc>
          <w:tcPr>
            <w:tcW w:w="3500" w:type="dxa"/>
            <w:tcMar>
              <w:top w:w="60" w:type="dxa"/>
              <w:left w:w="100" w:type="dxa"/>
              <w:bottom w:w="60" w:type="dxa"/>
              <w:right w:w="100" w:type="dxa"/>
            </w:tcMar>
            <w:vAlign w:val="center"/>
          </w:tcPr>
          <w:p w14:paraId="386EE284" w14:textId="77777777" w:rsidR="00DE3C3C" w:rsidRDefault="003C7DFB" w:rsidP="00535231">
            <w:pPr>
              <w:spacing w:after="0" w:line="240" w:lineRule="auto"/>
              <w:jc w:val="center"/>
              <w:rPr>
                <w:sz w:val="18"/>
                <w:szCs w:val="18"/>
              </w:rPr>
            </w:pPr>
            <w:r>
              <w:rPr>
                <w:sz w:val="18"/>
                <w:szCs w:val="18"/>
              </w:rPr>
              <w:t>Βόρεια Θάλασσα, Βαλτική, Βόρειος Ατλαντικός</w:t>
            </w:r>
          </w:p>
        </w:tc>
        <w:tc>
          <w:tcPr>
            <w:tcW w:w="1740" w:type="dxa"/>
            <w:tcMar>
              <w:top w:w="60" w:type="dxa"/>
              <w:left w:w="100" w:type="dxa"/>
              <w:bottom w:w="60" w:type="dxa"/>
              <w:right w:w="100" w:type="dxa"/>
            </w:tcMar>
            <w:vAlign w:val="center"/>
          </w:tcPr>
          <w:p w14:paraId="10F4A970" w14:textId="6151DEE7" w:rsidR="00DE3C3C" w:rsidRDefault="003C7DFB" w:rsidP="00535231">
            <w:pPr>
              <w:spacing w:after="0" w:line="240" w:lineRule="auto"/>
              <w:jc w:val="center"/>
              <w:rPr>
                <w:sz w:val="18"/>
                <w:szCs w:val="18"/>
              </w:rPr>
            </w:pPr>
            <w:r>
              <w:rPr>
                <w:sz w:val="18"/>
                <w:szCs w:val="18"/>
              </w:rPr>
              <w:t>2</w:t>
            </w:r>
            <w:r w:rsidR="00083B9E">
              <w:rPr>
                <w:sz w:val="18"/>
                <w:szCs w:val="18"/>
              </w:rPr>
              <w:t>,</w:t>
            </w:r>
            <w:r>
              <w:rPr>
                <w:sz w:val="18"/>
                <w:szCs w:val="18"/>
              </w:rPr>
              <w:t>0–3</w:t>
            </w:r>
            <w:r w:rsidR="00083B9E">
              <w:rPr>
                <w:sz w:val="18"/>
                <w:szCs w:val="18"/>
              </w:rPr>
              <w:t>,</w:t>
            </w:r>
            <w:r>
              <w:rPr>
                <w:sz w:val="18"/>
                <w:szCs w:val="18"/>
              </w:rPr>
              <w:t>3%</w:t>
            </w:r>
          </w:p>
        </w:tc>
      </w:tr>
      <w:tr w:rsidR="00DE3C3C" w14:paraId="35E9803B" w14:textId="77777777">
        <w:trPr>
          <w:cantSplit/>
          <w:jc w:val="center"/>
        </w:trPr>
        <w:tc>
          <w:tcPr>
            <w:tcW w:w="1900" w:type="dxa"/>
            <w:tcMar>
              <w:top w:w="60" w:type="dxa"/>
              <w:left w:w="100" w:type="dxa"/>
              <w:bottom w:w="60" w:type="dxa"/>
              <w:right w:w="100" w:type="dxa"/>
            </w:tcMar>
            <w:vAlign w:val="center"/>
          </w:tcPr>
          <w:p w14:paraId="5EB2870C" w14:textId="77777777" w:rsidR="00DE3C3C" w:rsidRDefault="003C7DFB" w:rsidP="00535231">
            <w:pPr>
              <w:spacing w:after="0" w:line="240" w:lineRule="auto"/>
              <w:jc w:val="center"/>
              <w:rPr>
                <w:sz w:val="18"/>
                <w:szCs w:val="18"/>
              </w:rPr>
            </w:pPr>
            <w:proofErr w:type="spellStart"/>
            <w:r>
              <w:rPr>
                <w:sz w:val="18"/>
                <w:szCs w:val="18"/>
              </w:rPr>
              <w:t>Ville</w:t>
            </w:r>
            <w:proofErr w:type="spellEnd"/>
            <w:r>
              <w:rPr>
                <w:sz w:val="18"/>
                <w:szCs w:val="18"/>
              </w:rPr>
              <w:t xml:space="preserve"> de </w:t>
            </w:r>
            <w:proofErr w:type="spellStart"/>
            <w:r>
              <w:rPr>
                <w:sz w:val="18"/>
                <w:szCs w:val="18"/>
              </w:rPr>
              <w:t>Bordeaux</w:t>
            </w:r>
            <w:proofErr w:type="spellEnd"/>
          </w:p>
        </w:tc>
        <w:tc>
          <w:tcPr>
            <w:tcW w:w="1500" w:type="dxa"/>
            <w:tcMar>
              <w:top w:w="60" w:type="dxa"/>
              <w:left w:w="100" w:type="dxa"/>
              <w:bottom w:w="60" w:type="dxa"/>
              <w:right w:w="100" w:type="dxa"/>
            </w:tcMar>
            <w:vAlign w:val="center"/>
          </w:tcPr>
          <w:p w14:paraId="01F3BCE4" w14:textId="77777777" w:rsidR="00DE3C3C" w:rsidRDefault="003C7DFB" w:rsidP="00535231">
            <w:pPr>
              <w:spacing w:after="0" w:line="240" w:lineRule="auto"/>
              <w:jc w:val="center"/>
              <w:rPr>
                <w:sz w:val="18"/>
                <w:szCs w:val="18"/>
              </w:rPr>
            </w:pPr>
            <w:r>
              <w:rPr>
                <w:sz w:val="18"/>
                <w:szCs w:val="18"/>
              </w:rPr>
              <w:t>3 πτέρυγες αναρρόφησης</w:t>
            </w:r>
          </w:p>
        </w:tc>
        <w:tc>
          <w:tcPr>
            <w:tcW w:w="3500" w:type="dxa"/>
            <w:tcMar>
              <w:top w:w="60" w:type="dxa"/>
              <w:left w:w="100" w:type="dxa"/>
              <w:bottom w:w="60" w:type="dxa"/>
              <w:right w:w="100" w:type="dxa"/>
            </w:tcMar>
            <w:vAlign w:val="center"/>
          </w:tcPr>
          <w:p w14:paraId="7EA22F05" w14:textId="77777777" w:rsidR="00DE3C3C" w:rsidRDefault="003C7DFB" w:rsidP="00535231">
            <w:pPr>
              <w:spacing w:after="0" w:line="240" w:lineRule="auto"/>
              <w:jc w:val="center"/>
              <w:rPr>
                <w:sz w:val="18"/>
                <w:szCs w:val="18"/>
              </w:rPr>
            </w:pPr>
            <w:r>
              <w:rPr>
                <w:sz w:val="18"/>
                <w:szCs w:val="18"/>
              </w:rPr>
              <w:t>Ευρώπη–Ηνωμένες Πολιτείες</w:t>
            </w:r>
          </w:p>
        </w:tc>
        <w:tc>
          <w:tcPr>
            <w:tcW w:w="1740" w:type="dxa"/>
            <w:tcMar>
              <w:top w:w="60" w:type="dxa"/>
              <w:left w:w="100" w:type="dxa"/>
              <w:bottom w:w="60" w:type="dxa"/>
              <w:right w:w="100" w:type="dxa"/>
            </w:tcMar>
            <w:vAlign w:val="center"/>
          </w:tcPr>
          <w:p w14:paraId="2EF2DBDD" w14:textId="77777777" w:rsidR="00DE3C3C" w:rsidRDefault="003C7DFB" w:rsidP="00535231">
            <w:pPr>
              <w:spacing w:after="0" w:line="240" w:lineRule="auto"/>
              <w:jc w:val="center"/>
              <w:rPr>
                <w:sz w:val="18"/>
                <w:szCs w:val="18"/>
              </w:rPr>
            </w:pPr>
            <w:r>
              <w:rPr>
                <w:sz w:val="18"/>
                <w:szCs w:val="18"/>
              </w:rPr>
              <w:t>568 t καυσίμου ετησίως</w:t>
            </w:r>
          </w:p>
        </w:tc>
      </w:tr>
      <w:tr w:rsidR="00DE3C3C" w14:paraId="38C9823D" w14:textId="77777777">
        <w:trPr>
          <w:cantSplit/>
          <w:jc w:val="center"/>
        </w:trPr>
        <w:tc>
          <w:tcPr>
            <w:tcW w:w="1900" w:type="dxa"/>
            <w:tcMar>
              <w:top w:w="60" w:type="dxa"/>
              <w:left w:w="100" w:type="dxa"/>
              <w:bottom w:w="60" w:type="dxa"/>
              <w:right w:w="100" w:type="dxa"/>
            </w:tcMar>
            <w:vAlign w:val="center"/>
          </w:tcPr>
          <w:p w14:paraId="59E93432" w14:textId="77777777" w:rsidR="00DE3C3C" w:rsidRDefault="003C7DFB" w:rsidP="00535231">
            <w:pPr>
              <w:spacing w:after="0" w:line="240" w:lineRule="auto"/>
              <w:jc w:val="center"/>
              <w:rPr>
                <w:sz w:val="18"/>
                <w:szCs w:val="18"/>
              </w:rPr>
            </w:pPr>
            <w:r>
              <w:rPr>
                <w:sz w:val="18"/>
                <w:szCs w:val="18"/>
              </w:rPr>
              <w:t xml:space="preserve">TR </w:t>
            </w:r>
            <w:proofErr w:type="spellStart"/>
            <w:r>
              <w:rPr>
                <w:sz w:val="18"/>
                <w:szCs w:val="18"/>
              </w:rPr>
              <w:t>Lady</w:t>
            </w:r>
            <w:proofErr w:type="spellEnd"/>
          </w:p>
        </w:tc>
        <w:tc>
          <w:tcPr>
            <w:tcW w:w="1500" w:type="dxa"/>
            <w:tcMar>
              <w:top w:w="60" w:type="dxa"/>
              <w:left w:w="100" w:type="dxa"/>
              <w:bottom w:w="60" w:type="dxa"/>
              <w:right w:w="100" w:type="dxa"/>
            </w:tcMar>
            <w:vAlign w:val="center"/>
          </w:tcPr>
          <w:p w14:paraId="6284370E" w14:textId="77777777" w:rsidR="00DE3C3C" w:rsidRDefault="003C7DFB" w:rsidP="00535231">
            <w:pPr>
              <w:spacing w:after="0" w:line="240" w:lineRule="auto"/>
              <w:jc w:val="center"/>
              <w:rPr>
                <w:sz w:val="18"/>
                <w:szCs w:val="18"/>
              </w:rPr>
            </w:pPr>
            <w:r>
              <w:rPr>
                <w:sz w:val="18"/>
                <w:szCs w:val="18"/>
              </w:rPr>
              <w:t xml:space="preserve">3 </w:t>
            </w:r>
            <w:proofErr w:type="spellStart"/>
            <w:r>
              <w:rPr>
                <w:sz w:val="18"/>
                <w:szCs w:val="18"/>
              </w:rPr>
              <w:t>ρότορες</w:t>
            </w:r>
            <w:proofErr w:type="spellEnd"/>
          </w:p>
        </w:tc>
        <w:tc>
          <w:tcPr>
            <w:tcW w:w="3500" w:type="dxa"/>
            <w:tcMar>
              <w:top w:w="60" w:type="dxa"/>
              <w:left w:w="100" w:type="dxa"/>
              <w:bottom w:w="60" w:type="dxa"/>
              <w:right w:w="100" w:type="dxa"/>
            </w:tcMar>
            <w:vAlign w:val="center"/>
          </w:tcPr>
          <w:p w14:paraId="05410C93" w14:textId="77777777" w:rsidR="00DE3C3C" w:rsidRDefault="003C7DFB" w:rsidP="00535231">
            <w:pPr>
              <w:spacing w:after="0" w:line="240" w:lineRule="auto"/>
              <w:jc w:val="center"/>
              <w:rPr>
                <w:sz w:val="18"/>
                <w:szCs w:val="18"/>
              </w:rPr>
            </w:pPr>
            <w:r>
              <w:rPr>
                <w:sz w:val="18"/>
                <w:szCs w:val="18"/>
              </w:rPr>
              <w:t xml:space="preserve">Επαληθευμένη από τον </w:t>
            </w:r>
            <w:proofErr w:type="spellStart"/>
            <w:r>
              <w:rPr>
                <w:sz w:val="18"/>
                <w:szCs w:val="18"/>
              </w:rPr>
              <w:t>Lloyd’s</w:t>
            </w:r>
            <w:proofErr w:type="spellEnd"/>
            <w:r>
              <w:rPr>
                <w:sz w:val="18"/>
                <w:szCs w:val="18"/>
              </w:rPr>
              <w:t xml:space="preserve"> </w:t>
            </w:r>
            <w:proofErr w:type="spellStart"/>
            <w:r>
              <w:rPr>
                <w:sz w:val="18"/>
                <w:szCs w:val="18"/>
              </w:rPr>
              <w:t>Register</w:t>
            </w:r>
            <w:proofErr w:type="spellEnd"/>
          </w:p>
        </w:tc>
        <w:tc>
          <w:tcPr>
            <w:tcW w:w="1740" w:type="dxa"/>
            <w:tcMar>
              <w:top w:w="60" w:type="dxa"/>
              <w:left w:w="100" w:type="dxa"/>
              <w:bottom w:w="60" w:type="dxa"/>
              <w:right w:w="100" w:type="dxa"/>
            </w:tcMar>
            <w:vAlign w:val="center"/>
          </w:tcPr>
          <w:p w14:paraId="2B8C19E0" w14:textId="0333EDAB" w:rsidR="00DE3C3C" w:rsidRDefault="003C7DFB" w:rsidP="00535231">
            <w:pPr>
              <w:spacing w:after="0" w:line="240" w:lineRule="auto"/>
              <w:jc w:val="center"/>
              <w:rPr>
                <w:sz w:val="18"/>
                <w:szCs w:val="18"/>
              </w:rPr>
            </w:pPr>
            <w:r>
              <w:rPr>
                <w:sz w:val="18"/>
                <w:szCs w:val="18"/>
              </w:rPr>
              <w:t>≈ 9</w:t>
            </w:r>
            <w:r w:rsidR="00083B9E">
              <w:rPr>
                <w:sz w:val="18"/>
                <w:szCs w:val="18"/>
              </w:rPr>
              <w:t>,</w:t>
            </w:r>
            <w:r>
              <w:rPr>
                <w:sz w:val="18"/>
                <w:szCs w:val="18"/>
              </w:rPr>
              <w:t>1%</w:t>
            </w:r>
          </w:p>
        </w:tc>
      </w:tr>
      <w:tr w:rsidR="00DE3C3C" w14:paraId="293B1A8C" w14:textId="77777777">
        <w:trPr>
          <w:cantSplit/>
          <w:jc w:val="center"/>
        </w:trPr>
        <w:tc>
          <w:tcPr>
            <w:tcW w:w="1900" w:type="dxa"/>
            <w:tcMar>
              <w:top w:w="60" w:type="dxa"/>
              <w:left w:w="100" w:type="dxa"/>
              <w:bottom w:w="60" w:type="dxa"/>
              <w:right w:w="100" w:type="dxa"/>
            </w:tcMar>
            <w:vAlign w:val="center"/>
          </w:tcPr>
          <w:p w14:paraId="25962C2A" w14:textId="77777777" w:rsidR="00DE3C3C" w:rsidRDefault="003C7DFB">
            <w:pPr>
              <w:spacing w:after="0" w:line="240" w:lineRule="auto"/>
              <w:rPr>
                <w:sz w:val="18"/>
                <w:szCs w:val="18"/>
              </w:rPr>
            </w:pPr>
            <w:proofErr w:type="spellStart"/>
            <w:r>
              <w:rPr>
                <w:sz w:val="18"/>
                <w:szCs w:val="18"/>
              </w:rPr>
              <w:lastRenderedPageBreak/>
              <w:t>Onego</w:t>
            </w:r>
            <w:proofErr w:type="spellEnd"/>
            <w:r>
              <w:rPr>
                <w:sz w:val="18"/>
                <w:szCs w:val="18"/>
              </w:rPr>
              <w:t xml:space="preserve"> </w:t>
            </w:r>
            <w:proofErr w:type="spellStart"/>
            <w:r>
              <w:rPr>
                <w:sz w:val="18"/>
                <w:szCs w:val="18"/>
              </w:rPr>
              <w:t>Deusto</w:t>
            </w:r>
            <w:proofErr w:type="spellEnd"/>
          </w:p>
        </w:tc>
        <w:tc>
          <w:tcPr>
            <w:tcW w:w="1500" w:type="dxa"/>
            <w:tcMar>
              <w:top w:w="60" w:type="dxa"/>
              <w:left w:w="100" w:type="dxa"/>
              <w:bottom w:w="60" w:type="dxa"/>
              <w:right w:w="100" w:type="dxa"/>
            </w:tcMar>
            <w:vAlign w:val="center"/>
          </w:tcPr>
          <w:p w14:paraId="0D28FE1C" w14:textId="77777777" w:rsidR="00DE3C3C" w:rsidRDefault="003C7DFB">
            <w:pPr>
              <w:spacing w:after="0" w:line="240" w:lineRule="auto"/>
              <w:rPr>
                <w:sz w:val="18"/>
                <w:szCs w:val="18"/>
              </w:rPr>
            </w:pPr>
            <w:r>
              <w:rPr>
                <w:sz w:val="18"/>
                <w:szCs w:val="18"/>
              </w:rPr>
              <w:t>1 χαρταετός</w:t>
            </w:r>
          </w:p>
        </w:tc>
        <w:tc>
          <w:tcPr>
            <w:tcW w:w="3500" w:type="dxa"/>
            <w:tcMar>
              <w:top w:w="60" w:type="dxa"/>
              <w:left w:w="100" w:type="dxa"/>
              <w:bottom w:w="60" w:type="dxa"/>
              <w:right w:w="100" w:type="dxa"/>
            </w:tcMar>
            <w:vAlign w:val="center"/>
          </w:tcPr>
          <w:p w14:paraId="78A92A25" w14:textId="77777777" w:rsidR="00DE3C3C" w:rsidRDefault="003C7DFB">
            <w:pPr>
              <w:spacing w:after="0" w:line="240" w:lineRule="auto"/>
              <w:rPr>
                <w:sz w:val="18"/>
                <w:szCs w:val="18"/>
              </w:rPr>
            </w:pPr>
            <w:r>
              <w:rPr>
                <w:sz w:val="18"/>
                <w:szCs w:val="18"/>
              </w:rPr>
              <w:t>Γερμανία–Βενεζουέλα</w:t>
            </w:r>
          </w:p>
        </w:tc>
        <w:tc>
          <w:tcPr>
            <w:tcW w:w="1740" w:type="dxa"/>
            <w:tcMar>
              <w:top w:w="60" w:type="dxa"/>
              <w:left w:w="100" w:type="dxa"/>
              <w:bottom w:w="60" w:type="dxa"/>
              <w:right w:w="100" w:type="dxa"/>
            </w:tcMar>
            <w:vAlign w:val="center"/>
          </w:tcPr>
          <w:p w14:paraId="0CC2D391" w14:textId="77777777" w:rsidR="00DE3C3C" w:rsidRDefault="003C7DFB">
            <w:pPr>
              <w:spacing w:after="0" w:line="240" w:lineRule="auto"/>
              <w:rPr>
                <w:sz w:val="18"/>
                <w:szCs w:val="18"/>
              </w:rPr>
            </w:pPr>
            <w:r>
              <w:rPr>
                <w:sz w:val="18"/>
                <w:szCs w:val="18"/>
              </w:rPr>
              <w:t>15–20%</w:t>
            </w:r>
          </w:p>
        </w:tc>
      </w:tr>
    </w:tbl>
    <w:p w14:paraId="5B764187" w14:textId="426E94B0" w:rsidR="00DE3C3C" w:rsidRDefault="003C7DFB">
      <w:pPr>
        <w:spacing w:before="60" w:after="200" w:line="240" w:lineRule="auto"/>
        <w:jc w:val="both"/>
      </w:pPr>
      <w:r>
        <w:rPr>
          <w:i/>
          <w:iCs/>
          <w:sz w:val="18"/>
          <w:szCs w:val="18"/>
        </w:rPr>
        <w:t xml:space="preserve">Πηγές: </w:t>
      </w:r>
      <w:proofErr w:type="spellStart"/>
      <w:r>
        <w:rPr>
          <w:i/>
          <w:iCs/>
          <w:sz w:val="18"/>
          <w:szCs w:val="18"/>
        </w:rPr>
        <w:t>Zhang</w:t>
      </w:r>
      <w:proofErr w:type="spellEnd"/>
      <w:r>
        <w:rPr>
          <w:i/>
          <w:iCs/>
          <w:sz w:val="18"/>
          <w:szCs w:val="18"/>
        </w:rPr>
        <w:t xml:space="preserve"> </w:t>
      </w:r>
      <w:proofErr w:type="spellStart"/>
      <w:r>
        <w:rPr>
          <w:i/>
          <w:iCs/>
          <w:sz w:val="18"/>
          <w:szCs w:val="18"/>
        </w:rPr>
        <w:t>et</w:t>
      </w:r>
      <w:proofErr w:type="spellEnd"/>
      <w:r>
        <w:rPr>
          <w:i/>
          <w:iCs/>
          <w:sz w:val="18"/>
          <w:szCs w:val="18"/>
        </w:rPr>
        <w:t xml:space="preserve"> </w:t>
      </w:r>
      <w:proofErr w:type="spellStart"/>
      <w:r>
        <w:rPr>
          <w:i/>
          <w:iCs/>
          <w:sz w:val="18"/>
          <w:szCs w:val="18"/>
        </w:rPr>
        <w:t>al</w:t>
      </w:r>
      <w:proofErr w:type="spellEnd"/>
      <w:r>
        <w:rPr>
          <w:i/>
          <w:iCs/>
          <w:sz w:val="18"/>
          <w:szCs w:val="18"/>
        </w:rPr>
        <w:t>. [</w:t>
      </w:r>
      <w:r>
        <w:rPr>
          <w:i/>
          <w:iCs/>
          <w:sz w:val="18"/>
          <w:szCs w:val="18"/>
        </w:rPr>
        <w:fldChar w:fldCharType="begin"/>
      </w:r>
      <w:r>
        <w:rPr>
          <w:i/>
          <w:iCs/>
          <w:sz w:val="18"/>
          <w:szCs w:val="18"/>
        </w:rPr>
        <w:instrText xml:space="preserve"> REF _Ref_cit_28 \h \* MERGEFORMAT </w:instrText>
      </w:r>
      <w:r>
        <w:rPr>
          <w:i/>
          <w:iCs/>
          <w:sz w:val="18"/>
          <w:szCs w:val="18"/>
        </w:rPr>
      </w:r>
      <w:r>
        <w:rPr>
          <w:i/>
          <w:iCs/>
          <w:sz w:val="18"/>
          <w:szCs w:val="18"/>
        </w:rPr>
        <w:fldChar w:fldCharType="separate"/>
      </w:r>
      <w:r w:rsidR="00B0043E" w:rsidRPr="00B0043E">
        <w:rPr>
          <w:i/>
          <w:iCs/>
          <w:sz w:val="18"/>
          <w:szCs w:val="18"/>
        </w:rPr>
        <w:t>28</w:t>
      </w:r>
      <w:r>
        <w:rPr>
          <w:i/>
          <w:iCs/>
          <w:sz w:val="18"/>
          <w:szCs w:val="18"/>
        </w:rPr>
        <w:fldChar w:fldCharType="end"/>
      </w:r>
      <w:r>
        <w:rPr>
          <w:i/>
          <w:iCs/>
          <w:sz w:val="18"/>
          <w:szCs w:val="18"/>
        </w:rPr>
        <w:t xml:space="preserve">], </w:t>
      </w:r>
      <w:proofErr w:type="spellStart"/>
      <w:r>
        <w:rPr>
          <w:i/>
          <w:iCs/>
          <w:sz w:val="18"/>
          <w:szCs w:val="18"/>
        </w:rPr>
        <w:t>Kolodziejski</w:t>
      </w:r>
      <w:proofErr w:type="spellEnd"/>
      <w:r>
        <w:rPr>
          <w:i/>
          <w:iCs/>
          <w:sz w:val="18"/>
          <w:szCs w:val="18"/>
        </w:rPr>
        <w:t xml:space="preserve"> και </w:t>
      </w:r>
      <w:proofErr w:type="spellStart"/>
      <w:r>
        <w:rPr>
          <w:i/>
          <w:iCs/>
          <w:sz w:val="18"/>
          <w:szCs w:val="18"/>
        </w:rPr>
        <w:t>Sosnowski</w:t>
      </w:r>
      <w:proofErr w:type="spellEnd"/>
      <w:r>
        <w:rPr>
          <w:i/>
          <w:iCs/>
          <w:sz w:val="18"/>
          <w:szCs w:val="18"/>
        </w:rPr>
        <w:t xml:space="preserve"> [</w:t>
      </w:r>
      <w:r>
        <w:rPr>
          <w:i/>
          <w:iCs/>
          <w:sz w:val="18"/>
          <w:szCs w:val="18"/>
        </w:rPr>
        <w:fldChar w:fldCharType="begin"/>
      </w:r>
      <w:r>
        <w:rPr>
          <w:i/>
          <w:iCs/>
          <w:sz w:val="18"/>
          <w:szCs w:val="18"/>
        </w:rPr>
        <w:instrText xml:space="preserve"> REF _Ref_cit_7 \h \* MERGEFORMAT </w:instrText>
      </w:r>
      <w:r>
        <w:rPr>
          <w:i/>
          <w:iCs/>
          <w:sz w:val="18"/>
          <w:szCs w:val="18"/>
        </w:rPr>
      </w:r>
      <w:r>
        <w:rPr>
          <w:i/>
          <w:iCs/>
          <w:sz w:val="18"/>
          <w:szCs w:val="18"/>
        </w:rPr>
        <w:fldChar w:fldCharType="separate"/>
      </w:r>
      <w:r w:rsidR="00B0043E" w:rsidRPr="00B0043E">
        <w:rPr>
          <w:i/>
          <w:iCs/>
          <w:sz w:val="18"/>
          <w:szCs w:val="18"/>
        </w:rPr>
        <w:t>7</w:t>
      </w:r>
      <w:r>
        <w:rPr>
          <w:i/>
          <w:iCs/>
          <w:sz w:val="18"/>
          <w:szCs w:val="18"/>
        </w:rPr>
        <w:fldChar w:fldCharType="end"/>
      </w:r>
      <w:r>
        <w:rPr>
          <w:i/>
          <w:iCs/>
          <w:sz w:val="18"/>
          <w:szCs w:val="18"/>
        </w:rPr>
        <w:t xml:space="preserve">], </w:t>
      </w:r>
      <w:proofErr w:type="spellStart"/>
      <w:r>
        <w:rPr>
          <w:i/>
          <w:iCs/>
          <w:sz w:val="18"/>
          <w:szCs w:val="18"/>
        </w:rPr>
        <w:t>Gaul</w:t>
      </w:r>
      <w:proofErr w:type="spellEnd"/>
      <w:r>
        <w:rPr>
          <w:i/>
          <w:iCs/>
          <w:sz w:val="18"/>
          <w:szCs w:val="18"/>
        </w:rPr>
        <w:t xml:space="preserve"> και </w:t>
      </w:r>
      <w:proofErr w:type="spellStart"/>
      <w:r>
        <w:rPr>
          <w:i/>
          <w:iCs/>
          <w:sz w:val="18"/>
          <w:szCs w:val="18"/>
        </w:rPr>
        <w:t>Rutkowski</w:t>
      </w:r>
      <w:proofErr w:type="spellEnd"/>
      <w:r>
        <w:rPr>
          <w:i/>
          <w:iCs/>
          <w:sz w:val="18"/>
          <w:szCs w:val="18"/>
        </w:rPr>
        <w:t xml:space="preserve"> [</w:t>
      </w:r>
      <w:r>
        <w:rPr>
          <w:i/>
          <w:iCs/>
          <w:sz w:val="18"/>
          <w:szCs w:val="18"/>
        </w:rPr>
        <w:fldChar w:fldCharType="begin"/>
      </w:r>
      <w:r>
        <w:rPr>
          <w:i/>
          <w:iCs/>
          <w:sz w:val="18"/>
          <w:szCs w:val="18"/>
        </w:rPr>
        <w:instrText xml:space="preserve"> REF _Ref_cit_42 \h \* MERGEFORMAT </w:instrText>
      </w:r>
      <w:r>
        <w:rPr>
          <w:i/>
          <w:iCs/>
          <w:sz w:val="18"/>
          <w:szCs w:val="18"/>
        </w:rPr>
      </w:r>
      <w:r>
        <w:rPr>
          <w:i/>
          <w:iCs/>
          <w:sz w:val="18"/>
          <w:szCs w:val="18"/>
        </w:rPr>
        <w:fldChar w:fldCharType="separate"/>
      </w:r>
      <w:r w:rsidR="00B0043E" w:rsidRPr="00B0043E">
        <w:rPr>
          <w:i/>
          <w:iCs/>
          <w:sz w:val="18"/>
          <w:szCs w:val="18"/>
        </w:rPr>
        <w:t>42</w:t>
      </w:r>
      <w:r>
        <w:rPr>
          <w:i/>
          <w:iCs/>
          <w:sz w:val="18"/>
          <w:szCs w:val="18"/>
        </w:rPr>
        <w:fldChar w:fldCharType="end"/>
      </w:r>
      <w:r>
        <w:rPr>
          <w:i/>
          <w:iCs/>
          <w:sz w:val="18"/>
          <w:szCs w:val="18"/>
        </w:rPr>
        <w:t xml:space="preserve">] και </w:t>
      </w:r>
      <w:proofErr w:type="spellStart"/>
      <w:r>
        <w:rPr>
          <w:i/>
          <w:iCs/>
          <w:sz w:val="18"/>
          <w:szCs w:val="18"/>
        </w:rPr>
        <w:t>Zoi</w:t>
      </w:r>
      <w:proofErr w:type="spellEnd"/>
      <w:r>
        <w:rPr>
          <w:i/>
          <w:iCs/>
          <w:sz w:val="18"/>
          <w:szCs w:val="18"/>
        </w:rPr>
        <w:t xml:space="preserve"> [</w:t>
      </w:r>
      <w:r>
        <w:rPr>
          <w:i/>
          <w:iCs/>
          <w:sz w:val="18"/>
          <w:szCs w:val="18"/>
        </w:rPr>
        <w:fldChar w:fldCharType="begin"/>
      </w:r>
      <w:r>
        <w:rPr>
          <w:i/>
          <w:iCs/>
          <w:sz w:val="18"/>
          <w:szCs w:val="18"/>
        </w:rPr>
        <w:instrText xml:space="preserve"> REF _Ref_cit_38 \h \* MERGEFORMAT </w:instrText>
      </w:r>
      <w:r>
        <w:rPr>
          <w:i/>
          <w:iCs/>
          <w:sz w:val="18"/>
          <w:szCs w:val="18"/>
        </w:rPr>
      </w:r>
      <w:r>
        <w:rPr>
          <w:i/>
          <w:iCs/>
          <w:sz w:val="18"/>
          <w:szCs w:val="18"/>
        </w:rPr>
        <w:fldChar w:fldCharType="separate"/>
      </w:r>
      <w:r w:rsidR="00B0043E" w:rsidRPr="00B0043E">
        <w:rPr>
          <w:i/>
          <w:iCs/>
          <w:sz w:val="18"/>
          <w:szCs w:val="18"/>
        </w:rPr>
        <w:t>38</w:t>
      </w:r>
      <w:r>
        <w:rPr>
          <w:i/>
          <w:iCs/>
          <w:sz w:val="18"/>
          <w:szCs w:val="18"/>
        </w:rPr>
        <w:fldChar w:fldCharType="end"/>
      </w:r>
      <w:r>
        <w:rPr>
          <w:i/>
          <w:iCs/>
          <w:sz w:val="18"/>
          <w:szCs w:val="18"/>
        </w:rPr>
        <w:t>]. Η εξοικονόμηση παρατίθεται όπως αναφέρεται από τις πηγές· η μέθοδος προσδιορισμού δεν είναι ενιαία, και αρκετές τιμές αποτελούν ισχυρισμούς κατασκευαστών ή διαχειριστών.</w:t>
      </w:r>
    </w:p>
    <w:p w14:paraId="62BCBB9F" w14:textId="53D5F598" w:rsidR="00DE3C3C" w:rsidRDefault="003C7DFB">
      <w:pPr>
        <w:spacing w:line="360" w:lineRule="auto"/>
        <w:ind w:firstLine="576"/>
        <w:jc w:val="both"/>
      </w:pPr>
      <w:r>
        <w:t xml:space="preserve">Μπορούν να γίνουν τρεις παρατηρήσεις. Πρώτον, η μετρημένη εξοικονόμηση είναι σημαντικά χαμηλότερη και παρουσιάζει μεγαλύτερη διασπορά από εκείνη που συχνά προβάλλεται σε προσομοιώσεις. Οι </w:t>
      </w:r>
      <w:proofErr w:type="spellStart"/>
      <w:r>
        <w:t>Zhang</w:t>
      </w:r>
      <w:proofErr w:type="spellEnd"/>
      <w:r>
        <w:t xml:space="preserve"> </w:t>
      </w:r>
      <w:proofErr w:type="spellStart"/>
      <w:r>
        <w:t>et</w:t>
      </w:r>
      <w:proofErr w:type="spellEnd"/>
      <w:r>
        <w:t xml:space="preserve"> </w:t>
      </w:r>
      <w:proofErr w:type="spellStart"/>
      <w:r>
        <w:t>al</w:t>
      </w:r>
      <w:proofErr w:type="spellEnd"/>
      <w:r>
        <w:t>. σημειώνουν ότι η εξοικονόμηση που αναφέρεται από πλοία σε λειτουργία είναι συνήθως κάτω από 10%, ενώ οι αριθμητικές μελέτες και οι δοκιμές σε κλίμακα αναφέρουν συχνά εξοικονόμηση περίπου 20% ή περισσότερο [</w:t>
      </w:r>
      <w:r>
        <w:fldChar w:fldCharType="begin"/>
      </w:r>
      <w:r>
        <w:instrText xml:space="preserve"> REF _Ref_cit_28 \h \* MERGEFORMAT </w:instrText>
      </w:r>
      <w:r>
        <w:fldChar w:fldCharType="separate"/>
      </w:r>
      <w:r w:rsidR="00B0043E" w:rsidRPr="00B0043E">
        <w:t>28</w:t>
      </w:r>
      <w:r>
        <w:fldChar w:fldCharType="end"/>
      </w:r>
      <w:r>
        <w:t xml:space="preserve">]· πρέπει να σημειωθεί ότι αρκετές καταχωρίσεις του </w:t>
      </w:r>
      <w:r w:rsidRPr="00357558">
        <w:rPr>
          <w:b/>
          <w:bCs/>
        </w:rPr>
        <w:t>Πίνακα 8</w:t>
      </w:r>
      <w:r>
        <w:t xml:space="preserve"> υπερβαίνουν το 10%, οπότε η διαπίστωση αυτή πρέπει να νοείται ως περιγραφή της κεντρικής τάσης και όχι ως ανώτατο όριο. Οι συγγραφείς αποδίδουν την απόκλιση σε επιδράσεις που οι προσομοιώσεις τείνουν να παραλείπουν, δηλαδή στο προφίλ δι</w:t>
      </w:r>
      <w:r w:rsidR="00A86412">
        <w:t>αταραχή</w:t>
      </w:r>
      <w:r>
        <w:t xml:space="preserve">ς του ανέμου στο θαλάσσιο ατμοσφαιρικό οριακό στρώμα, στη διαταραχή της ροής του αέρα από τη γάστρα και την </w:t>
      </w:r>
      <w:proofErr w:type="spellStart"/>
      <w:r>
        <w:t>υπερκατασκευή</w:t>
      </w:r>
      <w:proofErr w:type="spellEnd"/>
      <w:r>
        <w:t xml:space="preserve">, και στη σύζευξη με </w:t>
      </w:r>
      <w:r w:rsidR="001A242F">
        <w:t>την πλευρική ταλάντωση</w:t>
      </w:r>
      <w:r w:rsidR="00C77C20">
        <w:t xml:space="preserve"> (</w:t>
      </w:r>
      <w:r w:rsidR="00C77C20">
        <w:rPr>
          <w:lang w:val="en-US"/>
        </w:rPr>
        <w:t>roll</w:t>
      </w:r>
      <w:r w:rsidR="00C77C20" w:rsidRPr="00C77C20">
        <w:t>)</w:t>
      </w:r>
      <w:r>
        <w:t xml:space="preserve"> και την εγκάρσια κλίση του πλοίου [</w:t>
      </w:r>
      <w:r>
        <w:fldChar w:fldCharType="begin"/>
      </w:r>
      <w:r>
        <w:instrText xml:space="preserve"> REF _Ref_cit_28 \h \* MERGEFORMAT </w:instrText>
      </w:r>
      <w:r>
        <w:fldChar w:fldCharType="separate"/>
      </w:r>
      <w:r w:rsidR="00B0043E" w:rsidRPr="00B0043E">
        <w:t>28</w:t>
      </w:r>
      <w:r>
        <w:fldChar w:fldCharType="end"/>
      </w:r>
      <w:r>
        <w:t xml:space="preserve">]. Οι </w:t>
      </w:r>
      <w:proofErr w:type="spellStart"/>
      <w:r>
        <w:t>Carjova</w:t>
      </w:r>
      <w:proofErr w:type="spellEnd"/>
      <w:r>
        <w:t xml:space="preserve"> </w:t>
      </w:r>
      <w:proofErr w:type="spellStart"/>
      <w:r>
        <w:t>et</w:t>
      </w:r>
      <w:proofErr w:type="spellEnd"/>
      <w:r>
        <w:t xml:space="preserve"> </w:t>
      </w:r>
      <w:proofErr w:type="spellStart"/>
      <w:r>
        <w:t>al</w:t>
      </w:r>
      <w:proofErr w:type="spellEnd"/>
      <w:r>
        <w:t>., στην ανάλυσή τους 25 πλοίων με ιστία-</w:t>
      </w:r>
      <w:proofErr w:type="spellStart"/>
      <w:r>
        <w:t>ρότορες</w:t>
      </w:r>
      <w:proofErr w:type="spellEnd"/>
      <w:r>
        <w:t>, αναφέρουν εξοικονόμηση συνήθως μεταξύ 4 και 15%, έως 25% σε μεμονωμένες περιπτώσεις, και σημειώνουν ότι η βιβλιογραφία που βασίζεται σε προσομοιώσεις κυμαίνεται από 5% έως πάνω από 50% [</w:t>
      </w:r>
      <w:r>
        <w:fldChar w:fldCharType="begin"/>
      </w:r>
      <w:r>
        <w:instrText xml:space="preserve"> REF _Ref_cit_40 \h \* MERGEFORMAT </w:instrText>
      </w:r>
      <w:r>
        <w:fldChar w:fldCharType="separate"/>
      </w:r>
      <w:r w:rsidR="00B0043E" w:rsidRPr="00B0043E">
        <w:t>40</w:t>
      </w:r>
      <w:r>
        <w:fldChar w:fldCharType="end"/>
      </w:r>
      <w:r>
        <w:t xml:space="preserve">]. Δεύτερον, η εξοικονόμηση δεν είναι ανάλογη του μεγέθους ή του αριθμού των εγκατεστημένων συστημάτων. Στο σύνολο δεδομένων των </w:t>
      </w:r>
      <w:proofErr w:type="spellStart"/>
      <w:r>
        <w:t>Carjova</w:t>
      </w:r>
      <w:proofErr w:type="spellEnd"/>
      <w:r>
        <w:t xml:space="preserve"> </w:t>
      </w:r>
      <w:proofErr w:type="spellStart"/>
      <w:r>
        <w:t>et</w:t>
      </w:r>
      <w:proofErr w:type="spellEnd"/>
      <w:r>
        <w:t xml:space="preserve"> </w:t>
      </w:r>
      <w:proofErr w:type="spellStart"/>
      <w:r>
        <w:t>al</w:t>
      </w:r>
      <w:proofErr w:type="spellEnd"/>
      <w:r>
        <w:t xml:space="preserve">., πλοία μήκους 360 m με ώση </w:t>
      </w:r>
      <w:proofErr w:type="spellStart"/>
      <w:r>
        <w:t>ροτόρων</w:t>
      </w:r>
      <w:proofErr w:type="spellEnd"/>
      <w:r>
        <w:t xml:space="preserve"> 1</w:t>
      </w:r>
      <w:r w:rsidR="00A13139">
        <w:t>.</w:t>
      </w:r>
      <w:r>
        <w:t xml:space="preserve">750 </w:t>
      </w:r>
      <w:proofErr w:type="spellStart"/>
      <w:r>
        <w:t>kN</w:t>
      </w:r>
      <w:proofErr w:type="spellEnd"/>
      <w:r>
        <w:t xml:space="preserve"> και 1</w:t>
      </w:r>
      <w:r w:rsidR="00370E88">
        <w:t>.</w:t>
      </w:r>
      <w:r>
        <w:t xml:space="preserve">400 </w:t>
      </w:r>
      <w:proofErr w:type="spellStart"/>
      <w:r>
        <w:t>kN</w:t>
      </w:r>
      <w:proofErr w:type="spellEnd"/>
      <w:r>
        <w:t xml:space="preserve"> πέτυχαν εξοικονόμηση 6 και 8%, ενώ ένα πλοίο μήκους 235 m με ώση 525 </w:t>
      </w:r>
      <w:proofErr w:type="spellStart"/>
      <w:r>
        <w:t>kN</w:t>
      </w:r>
      <w:proofErr w:type="spellEnd"/>
      <w:r>
        <w:t xml:space="preserve"> πέτυχε 10 έως 15%, γεγονός που δείχνει ότι η σχετική συμβολή εξαρτάται από τον λόγο της αιολικής ώσης προς τη συνολική ισχύ πρόωσης και ότι οι αλληλεπιδράσεις μεταξύ των </w:t>
      </w:r>
      <w:proofErr w:type="spellStart"/>
      <w:r>
        <w:t>ροτόρων</w:t>
      </w:r>
      <w:proofErr w:type="spellEnd"/>
      <w:r>
        <w:t xml:space="preserve"> μπορούν να μειώσουν την </w:t>
      </w:r>
      <w:r w:rsidR="00370E88">
        <w:t>από</w:t>
      </w:r>
      <w:r>
        <w:t>δοση [</w:t>
      </w:r>
      <w:r>
        <w:fldChar w:fldCharType="begin"/>
      </w:r>
      <w:r>
        <w:instrText xml:space="preserve"> REF _Ref_cit_40 \h \* MERGEFORMAT </w:instrText>
      </w:r>
      <w:r>
        <w:fldChar w:fldCharType="separate"/>
      </w:r>
      <w:r w:rsidR="00B0043E" w:rsidRPr="00B0043E">
        <w:t>40</w:t>
      </w:r>
      <w:r>
        <w:fldChar w:fldCharType="end"/>
      </w:r>
      <w:r>
        <w:t xml:space="preserve">]. Τρίτον, δεν έχουν διατηρηθεί όλες οι εγκαταστάσεις: ο </w:t>
      </w:r>
      <w:proofErr w:type="spellStart"/>
      <w:r>
        <w:t>ρότορας</w:t>
      </w:r>
      <w:proofErr w:type="spellEnd"/>
      <w:r>
        <w:t xml:space="preserve"> που είχε εγκατασταθεί στο επιβατηγό-οχηματαγωγό </w:t>
      </w:r>
      <w:proofErr w:type="spellStart"/>
      <w:r>
        <w:t>Viking</w:t>
      </w:r>
      <w:proofErr w:type="spellEnd"/>
      <w:r>
        <w:t xml:space="preserve"> </w:t>
      </w:r>
      <w:proofErr w:type="spellStart"/>
      <w:r>
        <w:t>Grace</w:t>
      </w:r>
      <w:proofErr w:type="spellEnd"/>
      <w:r>
        <w:t>, ο οποίος εξοικονομούσε μεταξύ 231 και 315 τόνων καυσίμου ετησίως, αφαιρέθηκε το 2021 μετά από δοκιμαστική περίοδο τριών ετών [</w:t>
      </w:r>
      <w:r>
        <w:fldChar w:fldCharType="begin"/>
      </w:r>
      <w:r>
        <w:instrText xml:space="preserve"> REF _Ref_cit_40 \h \* MERGEFORMAT </w:instrText>
      </w:r>
      <w:r>
        <w:fldChar w:fldCharType="separate"/>
      </w:r>
      <w:r w:rsidR="00B0043E" w:rsidRPr="00B0043E">
        <w:t>40</w:t>
      </w:r>
      <w:r>
        <w:fldChar w:fldCharType="end"/>
      </w:r>
      <w:r>
        <w:t xml:space="preserve">]. Αυτό υπενθυμίζει ότι η </w:t>
      </w:r>
      <w:r w:rsidR="00654CFA">
        <w:t>τ</w:t>
      </w:r>
      <w:r w:rsidR="00654CFA" w:rsidRPr="00654CFA">
        <w:t xml:space="preserve">εχνική δυνατότητα υλοποίησης </w:t>
      </w:r>
      <w:r>
        <w:t>της τεχνολογίας δεν εγγυάται την εμπορική της επιτυχία σε κάθε διαδρομή.</w:t>
      </w:r>
    </w:p>
    <w:p w14:paraId="7D76ABF5" w14:textId="77777777" w:rsidR="00DE3C3C" w:rsidRDefault="003C7DFB">
      <w:pPr>
        <w:pStyle w:val="30"/>
      </w:pPr>
      <w:bookmarkStart w:id="171" w:name="_Toc243355335"/>
      <w:r>
        <w:t>Μελέτες βάσει διαδρομών και μελέτες προσομοίωσης</w:t>
      </w:r>
      <w:bookmarkEnd w:id="171"/>
    </w:p>
    <w:p w14:paraId="4CAFD71B" w14:textId="3A1E8A9D" w:rsidR="00DE3C3C" w:rsidRDefault="003C7DFB">
      <w:pPr>
        <w:spacing w:line="360" w:lineRule="auto"/>
        <w:ind w:firstLine="576"/>
        <w:jc w:val="both"/>
      </w:pPr>
      <w:r>
        <w:t xml:space="preserve">Οι προσομοιώσεις βάσει διαδρομών παρέχουν συμπληρωματικά στοιχεία. Οι </w:t>
      </w:r>
      <w:proofErr w:type="spellStart"/>
      <w:r>
        <w:t>Lu</w:t>
      </w:r>
      <w:proofErr w:type="spellEnd"/>
      <w:r>
        <w:t xml:space="preserve"> και </w:t>
      </w:r>
      <w:proofErr w:type="spellStart"/>
      <w:r>
        <w:t>Ringsberg</w:t>
      </w:r>
      <w:proofErr w:type="spellEnd"/>
      <w:r>
        <w:t xml:space="preserve"> [</w:t>
      </w:r>
      <w:r>
        <w:fldChar w:fldCharType="begin"/>
      </w:r>
      <w:r>
        <w:instrText xml:space="preserve"> REF _Ref_cit_8 \h \* MERGEFORMAT </w:instrText>
      </w:r>
      <w:r>
        <w:fldChar w:fldCharType="separate"/>
      </w:r>
      <w:r w:rsidR="00B0043E" w:rsidRPr="00B0043E">
        <w:t>8</w:t>
      </w:r>
      <w:r>
        <w:fldChar w:fldCharType="end"/>
      </w:r>
      <w:r>
        <w:t xml:space="preserve">] χρησιμοποίησαν έναν προσομοιωτή επιδόσεων πλοίου τεσσάρων </w:t>
      </w:r>
      <w:r>
        <w:lastRenderedPageBreak/>
        <w:t>βαθμών ελευθερίας, με δεδομένα ημερήσιων αναφορών (</w:t>
      </w:r>
      <w:proofErr w:type="spellStart"/>
      <w:r>
        <w:t>noon</w:t>
      </w:r>
      <w:proofErr w:type="spellEnd"/>
      <w:r>
        <w:t xml:space="preserve"> </w:t>
      </w:r>
      <w:proofErr w:type="spellStart"/>
      <w:r>
        <w:t>reports</w:t>
      </w:r>
      <w:proofErr w:type="spellEnd"/>
      <w:r>
        <w:t xml:space="preserve">) και καιρικά δεδομένα, για να συγκρίνουν ένα </w:t>
      </w:r>
      <w:proofErr w:type="spellStart"/>
      <w:r>
        <w:t>DynaRig</w:t>
      </w:r>
      <w:proofErr w:type="spellEnd"/>
      <w:r>
        <w:t xml:space="preserve"> 1</w:t>
      </w:r>
      <w:r w:rsidR="007D161C">
        <w:t>.</w:t>
      </w:r>
      <w:r>
        <w:t xml:space="preserve">000 m², ένα </w:t>
      </w:r>
      <w:r w:rsidR="007D161C">
        <w:t>άκαμπτο</w:t>
      </w:r>
      <w:r>
        <w:t xml:space="preserve"> ιστίο 1</w:t>
      </w:r>
      <w:r w:rsidR="007D161C">
        <w:t>.</w:t>
      </w:r>
      <w:r>
        <w:t xml:space="preserve">000 m² και έναν μεμονωμένο </w:t>
      </w:r>
      <w:proofErr w:type="spellStart"/>
      <w:r>
        <w:t>ρότορα</w:t>
      </w:r>
      <w:proofErr w:type="spellEnd"/>
      <w:r>
        <w:t xml:space="preserve"> </w:t>
      </w:r>
      <w:proofErr w:type="spellStart"/>
      <w:r>
        <w:t>Flettner</w:t>
      </w:r>
      <w:proofErr w:type="spellEnd"/>
      <w:r>
        <w:t xml:space="preserve"> 18 m × 3 m σε δεξαμενόπλοιο </w:t>
      </w:r>
      <w:proofErr w:type="spellStart"/>
      <w:r>
        <w:t>Aframax</w:t>
      </w:r>
      <w:proofErr w:type="spellEnd"/>
      <w:r>
        <w:t xml:space="preserve"> μήκους 250 m, με τον ίδιο χρόνο άφιξης. Σε διαδρομή 4</w:t>
      </w:r>
      <w:r w:rsidR="00B026FC">
        <w:t>.</w:t>
      </w:r>
      <w:r>
        <w:t>908 ναυτικών μιλίων από τη Γκαμπόν στον Καναδά, η εξοικονόμηση καυσίμου ήταν 5</w:t>
      </w:r>
      <w:r w:rsidR="00B026FC">
        <w:t>,</w:t>
      </w:r>
      <w:r>
        <w:t xml:space="preserve">6% για το </w:t>
      </w:r>
      <w:proofErr w:type="spellStart"/>
      <w:r>
        <w:t>DynaRig</w:t>
      </w:r>
      <w:proofErr w:type="spellEnd"/>
      <w:r>
        <w:t>, 8</w:t>
      </w:r>
      <w:r w:rsidR="00B026FC">
        <w:t>,</w:t>
      </w:r>
      <w:r>
        <w:t xml:space="preserve">8% για το </w:t>
      </w:r>
      <w:r w:rsidR="00B026FC">
        <w:t>άκαμπτο</w:t>
      </w:r>
      <w:r>
        <w:t xml:space="preserve"> ιστίο και 8</w:t>
      </w:r>
      <w:r w:rsidR="00B026FC">
        <w:t>,</w:t>
      </w:r>
      <w:r>
        <w:t xml:space="preserve">9% για τον </w:t>
      </w:r>
      <w:proofErr w:type="spellStart"/>
      <w:r>
        <w:t>ρότορα</w:t>
      </w:r>
      <w:proofErr w:type="spellEnd"/>
      <w:r>
        <w:t>, και σε διαδρομή 5</w:t>
      </w:r>
      <w:r w:rsidR="00B026FC">
        <w:t>.</w:t>
      </w:r>
      <w:r>
        <w:t>677 ναυτικών μιλίων από τη Βραζιλία στο Ρότερνταμ 4</w:t>
      </w:r>
      <w:r w:rsidR="00B026FC">
        <w:t>,</w:t>
      </w:r>
      <w:r>
        <w:t>2</w:t>
      </w:r>
      <w:r w:rsidR="00B026FC">
        <w:t xml:space="preserve"> </w:t>
      </w:r>
      <w:r>
        <w:t>, 6</w:t>
      </w:r>
      <w:r w:rsidR="00B026FC">
        <w:t>,</w:t>
      </w:r>
      <w:r>
        <w:t>1 και 6</w:t>
      </w:r>
      <w:r w:rsidR="00B026FC">
        <w:t>,</w:t>
      </w:r>
      <w:r>
        <w:t xml:space="preserve">5%, αντίστοιχα. Ο </w:t>
      </w:r>
      <w:proofErr w:type="spellStart"/>
      <w:r>
        <w:t>ρότορας</w:t>
      </w:r>
      <w:proofErr w:type="spellEnd"/>
      <w:r>
        <w:t xml:space="preserve">, με προβαλλόμενη επιφάνεια μόλις 108 m², ήταν εξίσου αποτελεσματικός με ένα </w:t>
      </w:r>
      <w:r w:rsidR="00B026FC">
        <w:t>άκαμπτο</w:t>
      </w:r>
      <w:r>
        <w:t xml:space="preserve"> ιστίο σχεδόν δεκαπλάσιας επιφάνειας, γεγονός που εξηγεί το ενδιαφέρον για τους </w:t>
      </w:r>
      <w:proofErr w:type="spellStart"/>
      <w:r>
        <w:t>ρότορες</w:t>
      </w:r>
      <w:proofErr w:type="spellEnd"/>
      <w:r>
        <w:t xml:space="preserve"> στις μετα</w:t>
      </w:r>
      <w:r w:rsidR="00B026FC">
        <w:t>τροπ</w:t>
      </w:r>
      <w:r>
        <w:t xml:space="preserve">ές. Στην παραμετρική μελέτη, ο </w:t>
      </w:r>
      <w:proofErr w:type="spellStart"/>
      <w:r>
        <w:t>ρότορας</w:t>
      </w:r>
      <w:proofErr w:type="spellEnd"/>
      <w:r>
        <w:t xml:space="preserve"> εξοικονόμησε 5 έως 6% στο δεξαμενόπλοιο και 8 έως 12% σε φορτηγό πλοίο χύδην ξηρού φορτίου </w:t>
      </w:r>
      <w:proofErr w:type="spellStart"/>
      <w:r>
        <w:t>Handysize</w:t>
      </w:r>
      <w:proofErr w:type="spellEnd"/>
      <w:r>
        <w:t xml:space="preserve"> μήκους 180 m· η μετακίνησή του προς την πλώρη πρόσθεσε 3 έως 9%, ενώ μια μ</w:t>
      </w:r>
      <w:r w:rsidR="008561AB">
        <w:t>ε</w:t>
      </w:r>
      <w:r w:rsidR="001E7BA0">
        <w:t>ίωση</w:t>
      </w:r>
      <w:r>
        <w:t xml:space="preserve"> της ταχύτητας κατά 0</w:t>
      </w:r>
      <w:r w:rsidR="00B026FC">
        <w:t>,</w:t>
      </w:r>
      <w:r>
        <w:t>5 έως 1</w:t>
      </w:r>
      <w:r w:rsidR="00B026FC">
        <w:t>,</w:t>
      </w:r>
      <w:r>
        <w:t xml:space="preserve">5 κόμβους είχε μεγαλύτερη επίδραση από τον </w:t>
      </w:r>
      <w:proofErr w:type="spellStart"/>
      <w:r>
        <w:t>ρότορα</w:t>
      </w:r>
      <w:proofErr w:type="spellEnd"/>
      <w:r>
        <w:t xml:space="preserve"> [</w:t>
      </w:r>
      <w:r>
        <w:fldChar w:fldCharType="begin"/>
      </w:r>
      <w:r>
        <w:instrText xml:space="preserve"> REF _Ref_cit_8 \h \* MERGEFORMAT </w:instrText>
      </w:r>
      <w:r>
        <w:fldChar w:fldCharType="separate"/>
      </w:r>
      <w:r w:rsidR="00B0043E" w:rsidRPr="00B0043E">
        <w:t>8</w:t>
      </w:r>
      <w:r>
        <w:fldChar w:fldCharType="end"/>
      </w:r>
      <w:r>
        <w:t xml:space="preserve">]. Το τελευταίο εύρημα δείχνει ότι η ταχύτητα λειτουργίας μπορεί να καθορίσει καθοριστικά το αποτέλεσμα, σε συμφωνία με την Ενότητα 4.3 και με το εύρημα των </w:t>
      </w:r>
      <w:proofErr w:type="spellStart"/>
      <w:r>
        <w:t>Ollila</w:t>
      </w:r>
      <w:proofErr w:type="spellEnd"/>
      <w:r>
        <w:t xml:space="preserve"> </w:t>
      </w:r>
      <w:proofErr w:type="spellStart"/>
      <w:r>
        <w:t>et</w:t>
      </w:r>
      <w:proofErr w:type="spellEnd"/>
      <w:r>
        <w:t xml:space="preserve"> </w:t>
      </w:r>
      <w:proofErr w:type="spellStart"/>
      <w:r>
        <w:t>al</w:t>
      </w:r>
      <w:proofErr w:type="spellEnd"/>
      <w:r>
        <w:t>. στην Ενότητα 4.8.2.</w:t>
      </w:r>
    </w:p>
    <w:p w14:paraId="10DBFF74" w14:textId="48E92CFD" w:rsidR="00DE3C3C" w:rsidRDefault="003C7DFB">
      <w:pPr>
        <w:spacing w:line="360" w:lineRule="auto"/>
        <w:ind w:firstLine="576"/>
        <w:jc w:val="both"/>
      </w:pPr>
      <w:r>
        <w:t xml:space="preserve">Η διπλωματική εργασία της </w:t>
      </w:r>
      <w:proofErr w:type="spellStart"/>
      <w:r>
        <w:t>Stathopoulou</w:t>
      </w:r>
      <w:proofErr w:type="spellEnd"/>
      <w:r>
        <w:t xml:space="preserve"> [</w:t>
      </w:r>
      <w:r>
        <w:fldChar w:fldCharType="begin"/>
      </w:r>
      <w:r>
        <w:instrText xml:space="preserve"> REF _Ref_cit_63 \h \* MERGEFORMAT </w:instrText>
      </w:r>
      <w:r>
        <w:fldChar w:fldCharType="separate"/>
      </w:r>
      <w:r w:rsidR="00B0043E" w:rsidRPr="00B0043E">
        <w:t>63</w:t>
      </w:r>
      <w:r>
        <w:fldChar w:fldCharType="end"/>
      </w:r>
      <w:r>
        <w:t>] εφαρμόζει παρόμοια προσέγγιση σε φορτηγό πλοίο χύδην ξηρού φορτίου διπλού καυσίμου 190</w:t>
      </w:r>
      <w:r w:rsidR="001B198D">
        <w:t>.</w:t>
      </w:r>
      <w:r>
        <w:t xml:space="preserve">000 </w:t>
      </w:r>
      <w:r w:rsidR="001B198D">
        <w:t>DWT</w:t>
      </w:r>
      <w:r>
        <w:t>, με μηχανή 15</w:t>
      </w:r>
      <w:r w:rsidR="001B198D">
        <w:t>.</w:t>
      </w:r>
      <w:r>
        <w:t xml:space="preserve">081 </w:t>
      </w:r>
      <w:proofErr w:type="spellStart"/>
      <w:r>
        <w:t>kW</w:t>
      </w:r>
      <w:proofErr w:type="spellEnd"/>
      <w:r>
        <w:t xml:space="preserve">, που πλέει από τη Βραζιλία στην Ιαπωνία μέσω του Ακρωτηρίου σε περίπου 36 ημέρες με 14 κόμβους, εξοπλισμένο με </w:t>
      </w:r>
      <w:proofErr w:type="spellStart"/>
      <w:r>
        <w:t>ρότορα</w:t>
      </w:r>
      <w:proofErr w:type="spellEnd"/>
      <w:r>
        <w:t xml:space="preserve"> 24 m × 4 m του οποίου η ώση προέκυψε από τα πολικά διαγράμματα του κατασκευαστή (</w:t>
      </w:r>
      <w:proofErr w:type="spellStart"/>
      <w:r>
        <w:t>Norsepower</w:t>
      </w:r>
      <w:proofErr w:type="spellEnd"/>
      <w:r>
        <w:t xml:space="preserve">). Η εξοικονόμηση ενός </w:t>
      </w:r>
      <w:proofErr w:type="spellStart"/>
      <w:r>
        <w:t>ρότορα</w:t>
      </w:r>
      <w:proofErr w:type="spellEnd"/>
      <w:r>
        <w:t xml:space="preserve"> ήταν 4</w:t>
      </w:r>
      <w:r w:rsidR="001B198D">
        <w:t>,</w:t>
      </w:r>
      <w:r>
        <w:t>45% σε ταξίδι τον Αύγουστο του 2023 και 2</w:t>
      </w:r>
      <w:r w:rsidR="001B198D">
        <w:t>,</w:t>
      </w:r>
      <w:r>
        <w:t>49% σε ταξίδι τον Φεβρουάριο του 2024, με μέσο όρο 3</w:t>
      </w:r>
      <w:r w:rsidR="001B198D">
        <w:t>,</w:t>
      </w:r>
      <w:r>
        <w:t>47%, έναντι 2</w:t>
      </w:r>
      <w:r w:rsidR="001B198D">
        <w:t>,</w:t>
      </w:r>
      <w:r>
        <w:t xml:space="preserve">5% σύμφωνα με τον εκτιμητή εξοικονόμησης </w:t>
      </w:r>
      <w:proofErr w:type="spellStart"/>
      <w:r>
        <w:t>ροτόρων</w:t>
      </w:r>
      <w:proofErr w:type="spellEnd"/>
      <w:r>
        <w:t xml:space="preserve"> του </w:t>
      </w:r>
      <w:proofErr w:type="spellStart"/>
      <w:r>
        <w:t>Lloyd’s</w:t>
      </w:r>
      <w:proofErr w:type="spellEnd"/>
      <w:r>
        <w:t xml:space="preserve"> </w:t>
      </w:r>
      <w:proofErr w:type="spellStart"/>
      <w:r>
        <w:t>Register</w:t>
      </w:r>
      <w:proofErr w:type="spellEnd"/>
      <w:r>
        <w:t xml:space="preserve"> [</w:t>
      </w:r>
      <w:r>
        <w:fldChar w:fldCharType="begin"/>
      </w:r>
      <w:r>
        <w:instrText xml:space="preserve"> REF _Ref_cit_63 \h \* MERGEFORMAT </w:instrText>
      </w:r>
      <w:r>
        <w:fldChar w:fldCharType="separate"/>
      </w:r>
      <w:r w:rsidR="00B0043E" w:rsidRPr="00B0043E">
        <w:t>63</w:t>
      </w:r>
      <w:r>
        <w:fldChar w:fldCharType="end"/>
      </w:r>
      <w:r>
        <w:t xml:space="preserve">]. Ο σχεδόν διπλασιασμός μεταξύ των δύο ταξιδιών δείχνει πόσο έντονα εξαρτάται το αποτέλεσμα από το αιολικό κλίμα που συναντά το πλοίο. Για τέσσερις τέτοιους </w:t>
      </w:r>
      <w:proofErr w:type="spellStart"/>
      <w:r>
        <w:t>ρότορες</w:t>
      </w:r>
      <w:proofErr w:type="spellEnd"/>
      <w:r>
        <w:t>, με κόστος περίπου 2.6 εκατομμύρια</w:t>
      </w:r>
      <w:r w:rsidR="001B198D">
        <w:t xml:space="preserve"> EUR</w:t>
      </w:r>
      <w:r>
        <w:t>, επιβάρυνση μετασκε</w:t>
      </w:r>
      <w:r w:rsidR="001B198D">
        <w:t>υ</w:t>
      </w:r>
      <w:r>
        <w:t>ής 10%</w:t>
      </w:r>
      <w:r w:rsidR="006B3766">
        <w:t xml:space="preserve"> (επιπλέον κόστος εγκατάστ</w:t>
      </w:r>
      <w:r w:rsidR="00493665">
        <w:t>ασης)</w:t>
      </w:r>
      <w:r>
        <w:t xml:space="preserve"> και κόστος συντήρησης 2% της επένδυσης ετησίως, η περίοδος αποπληρωμής ήταν 6 έτη για τιμή καυσίμου 800</w:t>
      </w:r>
      <w:r w:rsidR="00827104">
        <w:t xml:space="preserve"> USD</w:t>
      </w:r>
      <w:r>
        <w:t xml:space="preserve"> ανά τόνο, 8 έτη για 587.5</w:t>
      </w:r>
      <w:r w:rsidR="00E7410C">
        <w:t xml:space="preserve"> USD</w:t>
      </w:r>
      <w:r>
        <w:t xml:space="preserve"> και 11 έτη για</w:t>
      </w:r>
      <w:r w:rsidR="00E7410C">
        <w:t xml:space="preserve"> </w:t>
      </w:r>
      <w:r>
        <w:t xml:space="preserve">400 </w:t>
      </w:r>
      <w:r w:rsidR="00E7410C">
        <w:t xml:space="preserve">USD </w:t>
      </w:r>
      <w:r>
        <w:t>[</w:t>
      </w:r>
      <w:r>
        <w:fldChar w:fldCharType="begin"/>
      </w:r>
      <w:r>
        <w:instrText xml:space="preserve"> REF _Ref_cit_63 \h \* MERGEFORMAT </w:instrText>
      </w:r>
      <w:r>
        <w:fldChar w:fldCharType="separate"/>
      </w:r>
      <w:r w:rsidR="00B0043E" w:rsidRPr="00B0043E">
        <w:t>63</w:t>
      </w:r>
      <w:r>
        <w:fldChar w:fldCharType="end"/>
      </w:r>
      <w:r>
        <w:t xml:space="preserve">]. Η μελέτη είναι διπλωματική εργασία, η απλή περίοδος αποπληρωμής που υπολογίζει αγνοεί την προεξόφληση και η κλιμάκωση από έναν σε τέσσερις </w:t>
      </w:r>
      <w:proofErr w:type="spellStart"/>
      <w:r>
        <w:t>ρότορες</w:t>
      </w:r>
      <w:proofErr w:type="spellEnd"/>
      <w:r>
        <w:t xml:space="preserve"> αγνοεί την αλληλεπίδραση των </w:t>
      </w:r>
      <w:proofErr w:type="spellStart"/>
      <w:r>
        <w:t>ροτόρων</w:t>
      </w:r>
      <w:proofErr w:type="spellEnd"/>
      <w:r>
        <w:t xml:space="preserve"> [</w:t>
      </w:r>
      <w:r>
        <w:fldChar w:fldCharType="begin"/>
      </w:r>
      <w:r>
        <w:instrText xml:space="preserve"> REF _Ref_cit_40 \h \* MERGEFORMAT </w:instrText>
      </w:r>
      <w:r>
        <w:fldChar w:fldCharType="separate"/>
      </w:r>
      <w:r w:rsidR="00B0043E" w:rsidRPr="00B0043E">
        <w:t>40</w:t>
      </w:r>
      <w:r>
        <w:fldChar w:fldCharType="end"/>
      </w:r>
      <w:r>
        <w:t xml:space="preserve">], οπότε τα στοιχεία είναι ενδεικτικά· ωστόσο, αναδεικνύουν την ευαισθησία της περιόδου αποπληρωμής στην τιμή του καυσίμου. Μαζί με την περίπτωση της </w:t>
      </w:r>
      <w:proofErr w:type="spellStart"/>
      <w:r>
        <w:t>Zoi</w:t>
      </w:r>
      <w:proofErr w:type="spellEnd"/>
      <w:r>
        <w:t xml:space="preserve"> [</w:t>
      </w:r>
      <w:r>
        <w:fldChar w:fldCharType="begin"/>
      </w:r>
      <w:r>
        <w:instrText xml:space="preserve"> REF _Ref_cit_38 \h \* MERGEFORMAT </w:instrText>
      </w:r>
      <w:r>
        <w:fldChar w:fldCharType="separate"/>
      </w:r>
      <w:r w:rsidR="00B0043E" w:rsidRPr="00B0043E">
        <w:t>38</w:t>
      </w:r>
      <w:r>
        <w:fldChar w:fldCharType="end"/>
      </w:r>
      <w:r>
        <w:t xml:space="preserve">] και τις μελέτες του Κεφαλαίου 3, τα </w:t>
      </w:r>
      <w:r>
        <w:lastRenderedPageBreak/>
        <w:t xml:space="preserve">αποτελέσματα αυτά δείχνουν ότι ένας μεμονωμένος </w:t>
      </w:r>
      <w:proofErr w:type="spellStart"/>
      <w:r>
        <w:t>ρότορας</w:t>
      </w:r>
      <w:proofErr w:type="spellEnd"/>
      <w:r>
        <w:t xml:space="preserve"> ή μια μικρή συστοιχία σε μεγάλο φορτηγό πλοίο χύδην ξηρού φορτίου ή δεξαμενόπλοιο εξοικονομεί της τάξης του 2</w:t>
      </w:r>
      <w:r w:rsidR="00493665">
        <w:t>,</w:t>
      </w:r>
      <w:r>
        <w:t xml:space="preserve">5 έως 9%, και ότι μεγαλύτερη εξοικονόμηση απαιτεί περισσότερες μονάδες, μικρότερο πλοίο, ευνοϊκή διαδρομή ή επανασχεδιασμό του πλοίου γύρω από τα ιστία, όπως στη βελτιστοποίηση σχεδιασμού των </w:t>
      </w:r>
      <w:proofErr w:type="spellStart"/>
      <w:r w:rsidR="00312106">
        <w:t>Πλέσσα</w:t>
      </w:r>
      <w:proofErr w:type="spellEnd"/>
      <w:r w:rsidR="00312106">
        <w:t xml:space="preserve"> και Παπανικολάου</w:t>
      </w:r>
      <w:r>
        <w:t xml:space="preserve"> [</w:t>
      </w:r>
      <w:r>
        <w:fldChar w:fldCharType="begin"/>
      </w:r>
      <w:r>
        <w:instrText xml:space="preserve"> REF _Ref_cit_45 \h \* MERGEFORMAT </w:instrText>
      </w:r>
      <w:r>
        <w:fldChar w:fldCharType="separate"/>
      </w:r>
      <w:r w:rsidR="00B0043E" w:rsidRPr="00B0043E">
        <w:t>45</w:t>
      </w:r>
      <w:r>
        <w:fldChar w:fldCharType="end"/>
      </w:r>
      <w:r>
        <w:t>].</w:t>
      </w:r>
    </w:p>
    <w:p w14:paraId="71B2BD31" w14:textId="1941DD69" w:rsidR="006C4C83" w:rsidRDefault="001A2FEB">
      <w:pPr>
        <w:spacing w:line="360" w:lineRule="auto"/>
        <w:ind w:firstLine="576"/>
        <w:jc w:val="both"/>
      </w:pPr>
      <w:r w:rsidRPr="006F5F0C">
        <w:t xml:space="preserve">Δύο ακόμη μελέτες προσομοίωσης αφορούν τη διαδρομή Κίνα–Μέση Ανατολή με VLCC. Οι </w:t>
      </w:r>
      <w:proofErr w:type="spellStart"/>
      <w:r w:rsidRPr="006F5F0C">
        <w:t>Ma</w:t>
      </w:r>
      <w:proofErr w:type="spellEnd"/>
      <w:r w:rsidRPr="006F5F0C">
        <w:t xml:space="preserve"> </w:t>
      </w:r>
      <w:proofErr w:type="spellStart"/>
      <w:r w:rsidRPr="006F5F0C">
        <w:t>et</w:t>
      </w:r>
      <w:proofErr w:type="spellEnd"/>
      <w:r w:rsidRPr="006F5F0C">
        <w:t xml:space="preserve"> </w:t>
      </w:r>
      <w:proofErr w:type="spellStart"/>
      <w:r w:rsidRPr="006F5F0C">
        <w:t>al</w:t>
      </w:r>
      <w:proofErr w:type="spellEnd"/>
      <w:r w:rsidRPr="006F5F0C">
        <w:t>. [</w:t>
      </w:r>
      <w:r w:rsidRPr="006F5F0C">
        <w:fldChar w:fldCharType="begin"/>
      </w:r>
      <w:r w:rsidRPr="006F5F0C">
        <w:instrText xml:space="preserve"> REF _Ref_cit_71 \h \* MERGEFORMAT </w:instrText>
      </w:r>
      <w:r w:rsidRPr="006F5F0C">
        <w:fldChar w:fldCharType="separate"/>
      </w:r>
      <w:r w:rsidR="00B0043E" w:rsidRPr="00B0043E">
        <w:t>71</w:t>
      </w:r>
      <w:r w:rsidRPr="006F5F0C">
        <w:fldChar w:fldCharType="end"/>
      </w:r>
      <w:r w:rsidRPr="006F5F0C">
        <w:t xml:space="preserve">] αναπτύσσουν μια μέθοδο εκτίμησης της εξοικονόμησης ενέργειας πλοίου με </w:t>
      </w:r>
      <w:r w:rsidR="006F5F0C" w:rsidRPr="006F5F0C">
        <w:t>άκαμπτα</w:t>
      </w:r>
      <w:r w:rsidRPr="006F5F0C">
        <w:t xml:space="preserve"> ιστία, με βάση την ανάλυση του αιολικού δυναμικού της διαδρομής, και για ένα VLCC αναφέρουν ετήσια εξοικονόμηση ενέργειας πάνω από 5</w:t>
      </w:r>
      <w:r w:rsidR="006F5F0C" w:rsidRPr="006F5F0C">
        <w:t>,</w:t>
      </w:r>
      <w:r w:rsidRPr="006F5F0C">
        <w:t>37% για το 2021, με έως 9</w:t>
      </w:r>
      <w:r w:rsidR="006F5F0C" w:rsidRPr="006F5F0C">
        <w:t>,</w:t>
      </w:r>
      <w:r w:rsidRPr="006F5F0C">
        <w:t xml:space="preserve">54% σε ένα μεμονωμένο ταξίδι. Οι </w:t>
      </w:r>
      <w:proofErr w:type="spellStart"/>
      <w:r w:rsidRPr="006F5F0C">
        <w:t>Sun</w:t>
      </w:r>
      <w:proofErr w:type="spellEnd"/>
      <w:r w:rsidRPr="006F5F0C">
        <w:t xml:space="preserve"> </w:t>
      </w:r>
      <w:proofErr w:type="spellStart"/>
      <w:r w:rsidRPr="006F5F0C">
        <w:t>et</w:t>
      </w:r>
      <w:proofErr w:type="spellEnd"/>
      <w:r w:rsidRPr="006F5F0C">
        <w:t xml:space="preserve"> </w:t>
      </w:r>
      <w:proofErr w:type="spellStart"/>
      <w:r w:rsidRPr="006F5F0C">
        <w:t>al</w:t>
      </w:r>
      <w:proofErr w:type="spellEnd"/>
      <w:r w:rsidRPr="006F5F0C">
        <w:t>. [</w:t>
      </w:r>
      <w:r w:rsidRPr="006F5F0C">
        <w:fldChar w:fldCharType="begin"/>
      </w:r>
      <w:r w:rsidRPr="006F5F0C">
        <w:instrText xml:space="preserve"> REF _Ref_cit_72 \h \* MERGEFORMAT </w:instrText>
      </w:r>
      <w:r w:rsidRPr="006F5F0C">
        <w:fldChar w:fldCharType="separate"/>
      </w:r>
      <w:r w:rsidR="00B0043E" w:rsidRPr="00B0043E">
        <w:t>72</w:t>
      </w:r>
      <w:r w:rsidRPr="006F5F0C">
        <w:fldChar w:fldCharType="end"/>
      </w:r>
      <w:r w:rsidRPr="006F5F0C">
        <w:t xml:space="preserve">] συνδυάζουν δρομολόγηση βάσει καιρού, βελτιστοποίηση ταχύτητας και </w:t>
      </w:r>
      <w:proofErr w:type="spellStart"/>
      <w:r w:rsidRPr="006F5F0C">
        <w:t>ρότορες</w:t>
      </w:r>
      <w:proofErr w:type="spellEnd"/>
      <w:r w:rsidRPr="006F5F0C">
        <w:t xml:space="preserve"> σε VLCC στην ίδια διαδρομή: σε σχέση με τη συντομότερη διαδρομή, η δρομολόγηση μόνη της μειώνει την κατανάλωση καυσίμου κατά 4</w:t>
      </w:r>
      <w:r w:rsidR="006F5F0C" w:rsidRPr="006F5F0C">
        <w:t>,</w:t>
      </w:r>
      <w:r w:rsidRPr="006F5F0C">
        <w:t>61%, η βελτιστοποίηση ταχύτητας κατά επιπλέον 10</w:t>
      </w:r>
      <w:r w:rsidR="006F5F0C" w:rsidRPr="006F5F0C">
        <w:t>,</w:t>
      </w:r>
      <w:r w:rsidRPr="006F5F0C">
        <w:t xml:space="preserve">61 ποσοστιαίες μονάδες και οι </w:t>
      </w:r>
      <w:proofErr w:type="spellStart"/>
      <w:r w:rsidRPr="006F5F0C">
        <w:t>ρότορες</w:t>
      </w:r>
      <w:proofErr w:type="spellEnd"/>
      <w:r w:rsidRPr="006F5F0C">
        <w:t xml:space="preserve"> κατά επιπλέον 4</w:t>
      </w:r>
      <w:r w:rsidR="006F5F0C" w:rsidRPr="006F5F0C">
        <w:t>,</w:t>
      </w:r>
      <w:r w:rsidRPr="006F5F0C">
        <w:t xml:space="preserve">41 ποσοστιαίες μονάδες, ενώ οι </w:t>
      </w:r>
      <w:proofErr w:type="spellStart"/>
      <w:r w:rsidRPr="006F5F0C">
        <w:t>ρότορες</w:t>
      </w:r>
      <w:proofErr w:type="spellEnd"/>
      <w:r w:rsidRPr="006F5F0C">
        <w:t xml:space="preserve"> βελτιώνουν τον δείκτη CII κατά 3</w:t>
      </w:r>
      <w:r w:rsidR="006F5F0C" w:rsidRPr="006F5F0C">
        <w:t>,</w:t>
      </w:r>
      <w:r w:rsidRPr="006F5F0C">
        <w:t>90 ποσοστιαίες μονάδες [</w:t>
      </w:r>
      <w:r w:rsidRPr="006F5F0C">
        <w:fldChar w:fldCharType="begin"/>
      </w:r>
      <w:r w:rsidRPr="006F5F0C">
        <w:instrText xml:space="preserve"> REF _Ref_cit_72 \h \* MERGEFORMAT </w:instrText>
      </w:r>
      <w:r w:rsidRPr="006F5F0C">
        <w:fldChar w:fldCharType="separate"/>
      </w:r>
      <w:r w:rsidR="00B0043E" w:rsidRPr="00B0043E">
        <w:t>72</w:t>
      </w:r>
      <w:r w:rsidRPr="006F5F0C">
        <w:fldChar w:fldCharType="end"/>
      </w:r>
      <w:r w:rsidRPr="006F5F0C">
        <w:t xml:space="preserve">]. Στις δύο μελέτες η συμβολή της αιολικής υποβοήθησης είναι της τάξης λίγων ποσοστιαίων μονάδων και στη δεύτερη είναι μικρότερη από εκείνη της βελτιστοποίησης ταχύτητας, γεγονός που συμφωνεί με το εύρημα των </w:t>
      </w:r>
      <w:proofErr w:type="spellStart"/>
      <w:r w:rsidRPr="006F5F0C">
        <w:t>Lu</w:t>
      </w:r>
      <w:proofErr w:type="spellEnd"/>
      <w:r w:rsidRPr="006F5F0C">
        <w:t xml:space="preserve"> και </w:t>
      </w:r>
      <w:proofErr w:type="spellStart"/>
      <w:r w:rsidRPr="006F5F0C">
        <w:t>Ringsberg</w:t>
      </w:r>
      <w:proofErr w:type="spellEnd"/>
      <w:r w:rsidRPr="006F5F0C">
        <w:t xml:space="preserve"> [</w:t>
      </w:r>
      <w:r w:rsidRPr="006F5F0C">
        <w:fldChar w:fldCharType="begin"/>
      </w:r>
      <w:r w:rsidRPr="006F5F0C">
        <w:instrText xml:space="preserve"> REF _Ref_cit_8 \h \* MERGEFORMAT </w:instrText>
      </w:r>
      <w:r w:rsidRPr="006F5F0C">
        <w:fldChar w:fldCharType="separate"/>
      </w:r>
      <w:r w:rsidR="00B0043E" w:rsidRPr="00B0043E">
        <w:t>8</w:t>
      </w:r>
      <w:r w:rsidRPr="006F5F0C">
        <w:fldChar w:fldCharType="end"/>
      </w:r>
      <w:r w:rsidRPr="006F5F0C">
        <w:t>] για τη σημασία της ταχύτητας λειτουργίας.</w:t>
      </w:r>
    </w:p>
    <w:p w14:paraId="2B2BDFCF" w14:textId="77777777" w:rsidR="00E025A7" w:rsidRDefault="00000000">
      <w:pPr>
        <w:pStyle w:val="af2"/>
        <w:keepNext/>
        <w:jc w:val="center"/>
      </w:pPr>
      <w:bookmarkStart w:id="172" w:name="_Ref_dnv_tab_1"/>
      <w:r w:rsidRPr="00B65403">
        <w:rPr>
          <w:b/>
          <w:bCs/>
        </w:rPr>
        <w:t xml:space="preserve">Πίνακας </w:t>
      </w:r>
      <w:r w:rsidRPr="00B65403">
        <w:rPr>
          <w:b/>
          <w:bCs/>
        </w:rPr>
        <w:fldChar w:fldCharType="begin"/>
      </w:r>
      <w:r w:rsidRPr="00B65403">
        <w:rPr>
          <w:b/>
          <w:bCs/>
        </w:rPr>
        <w:instrText xml:space="preserve"> SEQ Table \* ARABIC </w:instrText>
      </w:r>
      <w:r w:rsidRPr="00B65403">
        <w:rPr>
          <w:b/>
          <w:bCs/>
        </w:rPr>
        <w:fldChar w:fldCharType="separate"/>
      </w:r>
      <w:r w:rsidRPr="00B65403">
        <w:rPr>
          <w:b/>
          <w:bCs/>
        </w:rPr>
        <w:t>9</w:t>
      </w:r>
      <w:r w:rsidRPr="00B65403">
        <w:rPr>
          <w:b/>
          <w:bCs/>
        </w:rPr>
        <w:fldChar w:fldCharType="end"/>
      </w:r>
      <w:bookmarkEnd w:id="172"/>
      <w:r w:rsidRPr="00B65403">
        <w:rPr>
          <w:b/>
          <w:bCs/>
        </w:rPr>
        <w:t>: Εκτιμώμενη ισοδύναμη ισχύς ώσης (</w:t>
      </w:r>
      <w:proofErr w:type="spellStart"/>
      <w:r w:rsidRPr="00B65403">
        <w:rPr>
          <w:b/>
          <w:bCs/>
        </w:rPr>
        <w:t>kW</w:t>
      </w:r>
      <w:proofErr w:type="spellEnd"/>
      <w:r w:rsidRPr="00B65403">
        <w:rPr>
          <w:b/>
          <w:bCs/>
        </w:rPr>
        <w:t xml:space="preserve">) των WAPS και εξοικονόμηση καυσίμου (%) με βάση απλοποιημένους υπολογισμούς για φορτηγά πλοία χύδην ξηρού φορτίου, δεξαμενόπλοια και </w:t>
      </w:r>
      <w:proofErr w:type="spellStart"/>
      <w:r w:rsidRPr="00B65403">
        <w:rPr>
          <w:b/>
          <w:bCs/>
        </w:rPr>
        <w:t>RoRo</w:t>
      </w:r>
      <w:proofErr w:type="spellEnd"/>
      <w:r w:rsidRPr="00B65403">
        <w:rPr>
          <w:b/>
          <w:bCs/>
        </w:rPr>
        <w:t>, σε σταθερή ταχύτητα 12 κόμβων.</w:t>
      </w:r>
    </w:p>
    <w:tbl>
      <w:tblPr>
        <w:tblW w:w="8640"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1000"/>
        <w:gridCol w:w="900"/>
        <w:gridCol w:w="748"/>
        <w:gridCol w:w="749"/>
        <w:gridCol w:w="749"/>
        <w:gridCol w:w="749"/>
        <w:gridCol w:w="749"/>
        <w:gridCol w:w="749"/>
        <w:gridCol w:w="749"/>
        <w:gridCol w:w="749"/>
        <w:gridCol w:w="749"/>
      </w:tblGrid>
      <w:tr w:rsidR="00E025A7" w14:paraId="2633FED6" w14:textId="77777777">
        <w:trPr>
          <w:cantSplit/>
          <w:tblHeader/>
          <w:jc w:val="center"/>
        </w:trPr>
        <w:tc>
          <w:tcPr>
            <w:tcW w:w="1900" w:type="dxa"/>
            <w:gridSpan w:val="2"/>
            <w:shd w:val="clear" w:color="auto" w:fill="D9D9D9"/>
            <w:tcMar>
              <w:top w:w="40" w:type="dxa"/>
              <w:left w:w="40" w:type="dxa"/>
              <w:bottom w:w="40" w:type="dxa"/>
              <w:right w:w="40" w:type="dxa"/>
            </w:tcMar>
            <w:vAlign w:val="center"/>
          </w:tcPr>
          <w:p w14:paraId="4D35E1F6" w14:textId="77777777" w:rsidR="00E025A7" w:rsidRPr="00B65403" w:rsidRDefault="00E025A7">
            <w:pPr>
              <w:spacing w:after="0" w:line="240" w:lineRule="auto"/>
              <w:jc w:val="center"/>
            </w:pPr>
          </w:p>
        </w:tc>
        <w:tc>
          <w:tcPr>
            <w:tcW w:w="6732" w:type="dxa"/>
            <w:gridSpan w:val="9"/>
            <w:shd w:val="clear" w:color="auto" w:fill="D9D9D9"/>
            <w:tcMar>
              <w:top w:w="40" w:type="dxa"/>
              <w:left w:w="40" w:type="dxa"/>
              <w:bottom w:w="40" w:type="dxa"/>
              <w:right w:w="40" w:type="dxa"/>
            </w:tcMar>
            <w:vAlign w:val="center"/>
          </w:tcPr>
          <w:p w14:paraId="272A8B70" w14:textId="77777777" w:rsidR="00E025A7" w:rsidRPr="00B65403" w:rsidRDefault="00000000">
            <w:pPr>
              <w:spacing w:after="0" w:line="240" w:lineRule="auto"/>
              <w:jc w:val="center"/>
            </w:pPr>
            <w:r w:rsidRPr="00B65403">
              <w:rPr>
                <w:b/>
                <w:bCs/>
                <w:sz w:val="16"/>
                <w:szCs w:val="16"/>
              </w:rPr>
              <w:t>Τεχνολογία εξοικονόμησης ενέργειας: WAPS</w:t>
            </w:r>
          </w:p>
        </w:tc>
      </w:tr>
      <w:tr w:rsidR="00E025A7" w14:paraId="468C6EF8" w14:textId="77777777">
        <w:trPr>
          <w:cantSplit/>
          <w:tblHeader/>
          <w:jc w:val="center"/>
        </w:trPr>
        <w:tc>
          <w:tcPr>
            <w:tcW w:w="1900" w:type="dxa"/>
            <w:gridSpan w:val="2"/>
            <w:shd w:val="clear" w:color="auto" w:fill="D9D9D9"/>
            <w:tcMar>
              <w:top w:w="40" w:type="dxa"/>
              <w:left w:w="40" w:type="dxa"/>
              <w:bottom w:w="40" w:type="dxa"/>
              <w:right w:w="40" w:type="dxa"/>
            </w:tcMar>
            <w:vAlign w:val="center"/>
          </w:tcPr>
          <w:p w14:paraId="33C42598" w14:textId="77777777" w:rsidR="00E025A7" w:rsidRPr="00B65403" w:rsidRDefault="00000000">
            <w:pPr>
              <w:spacing w:after="0" w:line="240" w:lineRule="auto"/>
              <w:jc w:val="center"/>
            </w:pPr>
            <w:r w:rsidRPr="00B65403">
              <w:rPr>
                <w:b/>
                <w:bCs/>
                <w:sz w:val="14"/>
                <w:szCs w:val="14"/>
              </w:rPr>
              <w:t>Μέγεθος WAPS</w:t>
            </w:r>
          </w:p>
        </w:tc>
        <w:tc>
          <w:tcPr>
            <w:tcW w:w="748" w:type="dxa"/>
            <w:shd w:val="clear" w:color="auto" w:fill="D9D9D9"/>
            <w:tcMar>
              <w:top w:w="40" w:type="dxa"/>
              <w:left w:w="40" w:type="dxa"/>
              <w:bottom w:w="40" w:type="dxa"/>
              <w:right w:w="40" w:type="dxa"/>
            </w:tcMar>
            <w:vAlign w:val="center"/>
          </w:tcPr>
          <w:p w14:paraId="06E3077F" w14:textId="77777777" w:rsidR="00E025A7" w:rsidRPr="00B65403" w:rsidRDefault="00000000">
            <w:pPr>
              <w:spacing w:after="0" w:line="240" w:lineRule="auto"/>
              <w:jc w:val="center"/>
            </w:pPr>
            <w:r w:rsidRPr="00B65403">
              <w:rPr>
                <w:b/>
                <w:bCs/>
                <w:sz w:val="14"/>
                <w:szCs w:val="14"/>
              </w:rPr>
              <w:t>Μικρό</w:t>
            </w:r>
          </w:p>
        </w:tc>
        <w:tc>
          <w:tcPr>
            <w:tcW w:w="748" w:type="dxa"/>
            <w:shd w:val="clear" w:color="auto" w:fill="D9D9D9"/>
            <w:tcMar>
              <w:top w:w="40" w:type="dxa"/>
              <w:left w:w="40" w:type="dxa"/>
              <w:bottom w:w="40" w:type="dxa"/>
              <w:right w:w="40" w:type="dxa"/>
            </w:tcMar>
            <w:vAlign w:val="center"/>
          </w:tcPr>
          <w:p w14:paraId="4EA34D5B" w14:textId="77777777" w:rsidR="00E025A7" w:rsidRPr="00B65403" w:rsidRDefault="00000000">
            <w:pPr>
              <w:spacing w:after="0" w:line="240" w:lineRule="auto"/>
              <w:jc w:val="center"/>
            </w:pPr>
            <w:r w:rsidRPr="00B65403">
              <w:rPr>
                <w:b/>
                <w:bCs/>
                <w:sz w:val="14"/>
                <w:szCs w:val="14"/>
              </w:rPr>
              <w:t>Μεσαίο</w:t>
            </w:r>
          </w:p>
        </w:tc>
        <w:tc>
          <w:tcPr>
            <w:tcW w:w="748" w:type="dxa"/>
            <w:shd w:val="clear" w:color="auto" w:fill="D9D9D9"/>
            <w:tcMar>
              <w:top w:w="40" w:type="dxa"/>
              <w:left w:w="40" w:type="dxa"/>
              <w:bottom w:w="40" w:type="dxa"/>
              <w:right w:w="40" w:type="dxa"/>
            </w:tcMar>
            <w:vAlign w:val="center"/>
          </w:tcPr>
          <w:p w14:paraId="69DB7B11" w14:textId="77777777" w:rsidR="00E025A7" w:rsidRPr="00B65403" w:rsidRDefault="00000000">
            <w:pPr>
              <w:spacing w:after="0" w:line="240" w:lineRule="auto"/>
              <w:jc w:val="center"/>
            </w:pPr>
            <w:r w:rsidRPr="00B65403">
              <w:rPr>
                <w:b/>
                <w:bCs/>
                <w:sz w:val="14"/>
                <w:szCs w:val="14"/>
              </w:rPr>
              <w:t>Μεγάλο</w:t>
            </w:r>
          </w:p>
        </w:tc>
        <w:tc>
          <w:tcPr>
            <w:tcW w:w="748" w:type="dxa"/>
            <w:shd w:val="clear" w:color="auto" w:fill="D9D9D9"/>
            <w:tcMar>
              <w:top w:w="40" w:type="dxa"/>
              <w:left w:w="40" w:type="dxa"/>
              <w:bottom w:w="40" w:type="dxa"/>
              <w:right w:w="40" w:type="dxa"/>
            </w:tcMar>
            <w:vAlign w:val="center"/>
          </w:tcPr>
          <w:p w14:paraId="240D214E" w14:textId="77777777" w:rsidR="00E025A7" w:rsidRPr="00B65403" w:rsidRDefault="00000000">
            <w:pPr>
              <w:spacing w:after="0" w:line="240" w:lineRule="auto"/>
              <w:jc w:val="center"/>
            </w:pPr>
            <w:r w:rsidRPr="00B65403">
              <w:rPr>
                <w:b/>
                <w:bCs/>
                <w:sz w:val="14"/>
                <w:szCs w:val="14"/>
              </w:rPr>
              <w:t>Μικρό</w:t>
            </w:r>
          </w:p>
        </w:tc>
        <w:tc>
          <w:tcPr>
            <w:tcW w:w="748" w:type="dxa"/>
            <w:shd w:val="clear" w:color="auto" w:fill="D9D9D9"/>
            <w:tcMar>
              <w:top w:w="40" w:type="dxa"/>
              <w:left w:w="40" w:type="dxa"/>
              <w:bottom w:w="40" w:type="dxa"/>
              <w:right w:w="40" w:type="dxa"/>
            </w:tcMar>
            <w:vAlign w:val="center"/>
          </w:tcPr>
          <w:p w14:paraId="26C376EB" w14:textId="77777777" w:rsidR="00E025A7" w:rsidRPr="00B65403" w:rsidRDefault="00000000">
            <w:pPr>
              <w:spacing w:after="0" w:line="240" w:lineRule="auto"/>
              <w:jc w:val="center"/>
            </w:pPr>
            <w:r w:rsidRPr="00B65403">
              <w:rPr>
                <w:b/>
                <w:bCs/>
                <w:sz w:val="14"/>
                <w:szCs w:val="14"/>
              </w:rPr>
              <w:t>Μεσαίο</w:t>
            </w:r>
          </w:p>
        </w:tc>
        <w:tc>
          <w:tcPr>
            <w:tcW w:w="748" w:type="dxa"/>
            <w:shd w:val="clear" w:color="auto" w:fill="D9D9D9"/>
            <w:tcMar>
              <w:top w:w="40" w:type="dxa"/>
              <w:left w:w="40" w:type="dxa"/>
              <w:bottom w:w="40" w:type="dxa"/>
              <w:right w:w="40" w:type="dxa"/>
            </w:tcMar>
            <w:vAlign w:val="center"/>
          </w:tcPr>
          <w:p w14:paraId="33B5D716" w14:textId="77777777" w:rsidR="00E025A7" w:rsidRPr="00B65403" w:rsidRDefault="00000000">
            <w:pPr>
              <w:spacing w:after="0" w:line="240" w:lineRule="auto"/>
              <w:jc w:val="center"/>
            </w:pPr>
            <w:r w:rsidRPr="00B65403">
              <w:rPr>
                <w:b/>
                <w:bCs/>
                <w:sz w:val="14"/>
                <w:szCs w:val="14"/>
              </w:rPr>
              <w:t>Μεγάλο</w:t>
            </w:r>
          </w:p>
        </w:tc>
        <w:tc>
          <w:tcPr>
            <w:tcW w:w="748" w:type="dxa"/>
            <w:shd w:val="clear" w:color="auto" w:fill="D9D9D9"/>
            <w:tcMar>
              <w:top w:w="40" w:type="dxa"/>
              <w:left w:w="40" w:type="dxa"/>
              <w:bottom w:w="40" w:type="dxa"/>
              <w:right w:w="40" w:type="dxa"/>
            </w:tcMar>
            <w:vAlign w:val="center"/>
          </w:tcPr>
          <w:p w14:paraId="620925EE" w14:textId="77777777" w:rsidR="00E025A7" w:rsidRPr="00B65403" w:rsidRDefault="00000000">
            <w:pPr>
              <w:spacing w:after="0" w:line="240" w:lineRule="auto"/>
              <w:jc w:val="center"/>
            </w:pPr>
            <w:r w:rsidRPr="00B65403">
              <w:rPr>
                <w:b/>
                <w:bCs/>
                <w:sz w:val="14"/>
                <w:szCs w:val="14"/>
              </w:rPr>
              <w:t>Μικρό</w:t>
            </w:r>
          </w:p>
        </w:tc>
        <w:tc>
          <w:tcPr>
            <w:tcW w:w="748" w:type="dxa"/>
            <w:shd w:val="clear" w:color="auto" w:fill="D9D9D9"/>
            <w:tcMar>
              <w:top w:w="40" w:type="dxa"/>
              <w:left w:w="40" w:type="dxa"/>
              <w:bottom w:w="40" w:type="dxa"/>
              <w:right w:w="40" w:type="dxa"/>
            </w:tcMar>
            <w:vAlign w:val="center"/>
          </w:tcPr>
          <w:p w14:paraId="14010B7B" w14:textId="77777777" w:rsidR="00E025A7" w:rsidRPr="00B65403" w:rsidRDefault="00000000">
            <w:pPr>
              <w:spacing w:after="0" w:line="240" w:lineRule="auto"/>
              <w:jc w:val="center"/>
            </w:pPr>
            <w:r w:rsidRPr="00B65403">
              <w:rPr>
                <w:b/>
                <w:bCs/>
                <w:sz w:val="14"/>
                <w:szCs w:val="14"/>
              </w:rPr>
              <w:t>Μεσαίο</w:t>
            </w:r>
          </w:p>
        </w:tc>
        <w:tc>
          <w:tcPr>
            <w:tcW w:w="748" w:type="dxa"/>
            <w:shd w:val="clear" w:color="auto" w:fill="D9D9D9"/>
            <w:tcMar>
              <w:top w:w="40" w:type="dxa"/>
              <w:left w:w="40" w:type="dxa"/>
              <w:bottom w:w="40" w:type="dxa"/>
              <w:right w:w="40" w:type="dxa"/>
            </w:tcMar>
            <w:vAlign w:val="center"/>
          </w:tcPr>
          <w:p w14:paraId="0722365E" w14:textId="77777777" w:rsidR="00E025A7" w:rsidRPr="00B65403" w:rsidRDefault="00000000">
            <w:pPr>
              <w:spacing w:after="0" w:line="240" w:lineRule="auto"/>
              <w:jc w:val="center"/>
            </w:pPr>
            <w:r w:rsidRPr="00B65403">
              <w:rPr>
                <w:b/>
                <w:bCs/>
                <w:sz w:val="14"/>
                <w:szCs w:val="14"/>
              </w:rPr>
              <w:t>Μεγάλο</w:t>
            </w:r>
          </w:p>
        </w:tc>
      </w:tr>
      <w:tr w:rsidR="00E025A7" w14:paraId="0F5700F7" w14:textId="77777777">
        <w:trPr>
          <w:cantSplit/>
          <w:tblHeader/>
          <w:jc w:val="center"/>
        </w:trPr>
        <w:tc>
          <w:tcPr>
            <w:tcW w:w="1900" w:type="dxa"/>
            <w:gridSpan w:val="2"/>
            <w:shd w:val="clear" w:color="auto" w:fill="BFBFBF"/>
            <w:tcMar>
              <w:top w:w="40" w:type="dxa"/>
              <w:left w:w="40" w:type="dxa"/>
              <w:bottom w:w="40" w:type="dxa"/>
              <w:right w:w="40" w:type="dxa"/>
            </w:tcMar>
            <w:vAlign w:val="center"/>
          </w:tcPr>
          <w:p w14:paraId="1489EA20" w14:textId="77777777" w:rsidR="00E025A7" w:rsidRPr="00B65403" w:rsidRDefault="00000000">
            <w:pPr>
              <w:spacing w:after="0" w:line="240" w:lineRule="auto"/>
              <w:jc w:val="center"/>
            </w:pPr>
            <w:r w:rsidRPr="00B65403">
              <w:rPr>
                <w:b/>
                <w:bCs/>
                <w:sz w:val="14"/>
                <w:szCs w:val="14"/>
              </w:rPr>
              <w:t>Περιοχή πλεύσης</w:t>
            </w:r>
          </w:p>
        </w:tc>
        <w:tc>
          <w:tcPr>
            <w:tcW w:w="2244" w:type="dxa"/>
            <w:gridSpan w:val="3"/>
            <w:shd w:val="clear" w:color="auto" w:fill="BFBFBF"/>
            <w:tcMar>
              <w:top w:w="40" w:type="dxa"/>
              <w:left w:w="40" w:type="dxa"/>
              <w:bottom w:w="40" w:type="dxa"/>
              <w:right w:w="40" w:type="dxa"/>
            </w:tcMar>
            <w:vAlign w:val="center"/>
          </w:tcPr>
          <w:p w14:paraId="09E792CA" w14:textId="77777777" w:rsidR="00E025A7" w:rsidRPr="00B65403" w:rsidRDefault="00000000">
            <w:pPr>
              <w:spacing w:after="0" w:line="240" w:lineRule="auto"/>
              <w:jc w:val="center"/>
            </w:pPr>
            <w:r w:rsidRPr="00B65403">
              <w:rPr>
                <w:b/>
                <w:bCs/>
                <w:sz w:val="14"/>
                <w:szCs w:val="14"/>
              </w:rPr>
              <w:t>Τροπική</w:t>
            </w:r>
          </w:p>
        </w:tc>
        <w:tc>
          <w:tcPr>
            <w:tcW w:w="2244" w:type="dxa"/>
            <w:gridSpan w:val="3"/>
            <w:shd w:val="clear" w:color="auto" w:fill="BFBFBF"/>
            <w:tcMar>
              <w:top w:w="40" w:type="dxa"/>
              <w:left w:w="40" w:type="dxa"/>
              <w:bottom w:w="40" w:type="dxa"/>
              <w:right w:w="40" w:type="dxa"/>
            </w:tcMar>
            <w:vAlign w:val="center"/>
          </w:tcPr>
          <w:p w14:paraId="13F6F599" w14:textId="77777777" w:rsidR="00E025A7" w:rsidRPr="00B65403" w:rsidRDefault="00000000">
            <w:pPr>
              <w:spacing w:after="0" w:line="240" w:lineRule="auto"/>
              <w:jc w:val="center"/>
            </w:pPr>
            <w:r w:rsidRPr="00B65403">
              <w:rPr>
                <w:b/>
                <w:bCs/>
                <w:sz w:val="14"/>
                <w:szCs w:val="14"/>
              </w:rPr>
              <w:t>Μέση ωκεάνια περιοχή</w:t>
            </w:r>
          </w:p>
        </w:tc>
        <w:tc>
          <w:tcPr>
            <w:tcW w:w="2244" w:type="dxa"/>
            <w:gridSpan w:val="3"/>
            <w:shd w:val="clear" w:color="auto" w:fill="BFBFBF"/>
            <w:tcMar>
              <w:top w:w="40" w:type="dxa"/>
              <w:left w:w="40" w:type="dxa"/>
              <w:bottom w:w="40" w:type="dxa"/>
              <w:right w:w="40" w:type="dxa"/>
            </w:tcMar>
            <w:vAlign w:val="center"/>
          </w:tcPr>
          <w:p w14:paraId="0438BA7D" w14:textId="77777777" w:rsidR="00E025A7" w:rsidRPr="00B65403" w:rsidRDefault="00000000">
            <w:pPr>
              <w:spacing w:after="0" w:line="240" w:lineRule="auto"/>
              <w:jc w:val="center"/>
            </w:pPr>
            <w:r w:rsidRPr="00B65403">
              <w:rPr>
                <w:b/>
                <w:bCs/>
                <w:sz w:val="14"/>
                <w:szCs w:val="14"/>
              </w:rPr>
              <w:t>Υψηλά γεωγραφικά πλάτη</w:t>
            </w:r>
          </w:p>
        </w:tc>
      </w:tr>
      <w:tr w:rsidR="00E025A7" w14:paraId="46108BB9" w14:textId="77777777">
        <w:trPr>
          <w:cantSplit/>
          <w:jc w:val="center"/>
        </w:trPr>
        <w:tc>
          <w:tcPr>
            <w:tcW w:w="1000" w:type="dxa"/>
            <w:vMerge w:val="restart"/>
            <w:shd w:val="clear" w:color="auto" w:fill="EFEFEF"/>
            <w:tcMar>
              <w:top w:w="40" w:type="dxa"/>
              <w:left w:w="40" w:type="dxa"/>
              <w:bottom w:w="40" w:type="dxa"/>
              <w:right w:w="40" w:type="dxa"/>
            </w:tcMar>
            <w:vAlign w:val="center"/>
          </w:tcPr>
          <w:p w14:paraId="17CCB603" w14:textId="77777777" w:rsidR="00E025A7" w:rsidRPr="00B65403" w:rsidRDefault="00000000">
            <w:pPr>
              <w:spacing w:after="0" w:line="240" w:lineRule="auto"/>
              <w:jc w:val="center"/>
            </w:pPr>
            <w:r w:rsidRPr="00B65403">
              <w:rPr>
                <w:b/>
                <w:bCs/>
                <w:sz w:val="14"/>
                <w:szCs w:val="14"/>
              </w:rPr>
              <w:t>Φορτηγά χύδην ξηρού φορτίου</w:t>
            </w:r>
          </w:p>
        </w:tc>
        <w:tc>
          <w:tcPr>
            <w:tcW w:w="900" w:type="dxa"/>
            <w:shd w:val="clear" w:color="auto" w:fill="EFEFEF"/>
            <w:tcMar>
              <w:top w:w="40" w:type="dxa"/>
              <w:left w:w="40" w:type="dxa"/>
              <w:bottom w:w="40" w:type="dxa"/>
              <w:right w:w="40" w:type="dxa"/>
            </w:tcMar>
            <w:vAlign w:val="center"/>
          </w:tcPr>
          <w:p w14:paraId="236F3FFF" w14:textId="77777777" w:rsidR="00E025A7" w:rsidRPr="00B65403" w:rsidRDefault="00000000">
            <w:pPr>
              <w:spacing w:after="0" w:line="240" w:lineRule="auto"/>
              <w:jc w:val="center"/>
            </w:pPr>
            <w:proofErr w:type="spellStart"/>
            <w:r w:rsidRPr="00B65403">
              <w:rPr>
                <w:b/>
                <w:bCs/>
                <w:sz w:val="14"/>
                <w:szCs w:val="14"/>
              </w:rPr>
              <w:t>Handysize</w:t>
            </w:r>
            <w:proofErr w:type="spellEnd"/>
          </w:p>
        </w:tc>
        <w:tc>
          <w:tcPr>
            <w:tcW w:w="748" w:type="dxa"/>
            <w:shd w:val="clear" w:color="auto" w:fill="F7EFE4"/>
            <w:tcMar>
              <w:top w:w="40" w:type="dxa"/>
              <w:left w:w="40" w:type="dxa"/>
              <w:bottom w:w="40" w:type="dxa"/>
              <w:right w:w="40" w:type="dxa"/>
            </w:tcMar>
            <w:vAlign w:val="center"/>
          </w:tcPr>
          <w:p w14:paraId="7DF6E83C" w14:textId="77777777" w:rsidR="00E025A7" w:rsidRPr="00B65403" w:rsidRDefault="00000000">
            <w:pPr>
              <w:spacing w:after="0" w:line="240" w:lineRule="auto"/>
              <w:jc w:val="center"/>
            </w:pPr>
            <w:r w:rsidRPr="00B65403">
              <w:rPr>
                <w:sz w:val="14"/>
                <w:szCs w:val="14"/>
              </w:rPr>
              <w:t xml:space="preserve">105 </w:t>
            </w:r>
            <w:proofErr w:type="spellStart"/>
            <w:r w:rsidRPr="00B65403">
              <w:rPr>
                <w:sz w:val="14"/>
                <w:szCs w:val="14"/>
              </w:rPr>
              <w:t>kW</w:t>
            </w:r>
            <w:proofErr w:type="spellEnd"/>
          </w:p>
          <w:p w14:paraId="04383465" w14:textId="77777777" w:rsidR="00E025A7" w:rsidRPr="00B65403" w:rsidRDefault="00000000">
            <w:pPr>
              <w:spacing w:after="0" w:line="240" w:lineRule="auto"/>
              <w:jc w:val="center"/>
            </w:pPr>
            <w:r w:rsidRPr="00B65403">
              <w:rPr>
                <w:b/>
                <w:bCs/>
                <w:sz w:val="14"/>
                <w:szCs w:val="14"/>
              </w:rPr>
              <w:t>3%</w:t>
            </w:r>
          </w:p>
        </w:tc>
        <w:tc>
          <w:tcPr>
            <w:tcW w:w="748" w:type="dxa"/>
            <w:shd w:val="clear" w:color="auto" w:fill="F7EFE4"/>
            <w:tcMar>
              <w:top w:w="40" w:type="dxa"/>
              <w:left w:w="40" w:type="dxa"/>
              <w:bottom w:w="40" w:type="dxa"/>
              <w:right w:w="40" w:type="dxa"/>
            </w:tcMar>
            <w:vAlign w:val="center"/>
          </w:tcPr>
          <w:p w14:paraId="7B3EBE0F" w14:textId="77777777" w:rsidR="00E025A7" w:rsidRPr="00B65403" w:rsidRDefault="00000000">
            <w:pPr>
              <w:spacing w:after="0" w:line="240" w:lineRule="auto"/>
              <w:jc w:val="center"/>
            </w:pPr>
            <w:r w:rsidRPr="00B65403">
              <w:rPr>
                <w:sz w:val="14"/>
                <w:szCs w:val="14"/>
              </w:rPr>
              <w:t xml:space="preserve">210 </w:t>
            </w:r>
            <w:proofErr w:type="spellStart"/>
            <w:r w:rsidRPr="00B65403">
              <w:rPr>
                <w:sz w:val="14"/>
                <w:szCs w:val="14"/>
              </w:rPr>
              <w:t>kW</w:t>
            </w:r>
            <w:proofErr w:type="spellEnd"/>
          </w:p>
          <w:p w14:paraId="310E4E92" w14:textId="77777777" w:rsidR="00E025A7" w:rsidRPr="00B65403" w:rsidRDefault="00000000">
            <w:pPr>
              <w:spacing w:after="0" w:line="240" w:lineRule="auto"/>
              <w:jc w:val="center"/>
            </w:pPr>
            <w:r w:rsidRPr="00B65403">
              <w:rPr>
                <w:b/>
                <w:bCs/>
                <w:sz w:val="14"/>
                <w:szCs w:val="14"/>
              </w:rPr>
              <w:t>5%</w:t>
            </w:r>
          </w:p>
        </w:tc>
        <w:tc>
          <w:tcPr>
            <w:tcW w:w="748" w:type="dxa"/>
            <w:shd w:val="clear" w:color="auto" w:fill="F7EFE4"/>
            <w:tcMar>
              <w:top w:w="40" w:type="dxa"/>
              <w:left w:w="40" w:type="dxa"/>
              <w:bottom w:w="40" w:type="dxa"/>
              <w:right w:w="40" w:type="dxa"/>
            </w:tcMar>
            <w:vAlign w:val="center"/>
          </w:tcPr>
          <w:p w14:paraId="0CE8FA1A" w14:textId="77777777" w:rsidR="00E025A7" w:rsidRPr="00B65403" w:rsidRDefault="00000000">
            <w:pPr>
              <w:spacing w:after="0" w:line="240" w:lineRule="auto"/>
              <w:jc w:val="center"/>
            </w:pPr>
            <w:r w:rsidRPr="00B65403">
              <w:rPr>
                <w:sz w:val="14"/>
                <w:szCs w:val="14"/>
              </w:rPr>
              <w:t xml:space="preserve">315 </w:t>
            </w:r>
            <w:proofErr w:type="spellStart"/>
            <w:r w:rsidRPr="00B65403">
              <w:rPr>
                <w:sz w:val="14"/>
                <w:szCs w:val="14"/>
              </w:rPr>
              <w:t>kW</w:t>
            </w:r>
            <w:proofErr w:type="spellEnd"/>
          </w:p>
          <w:p w14:paraId="60CF80B9" w14:textId="77777777" w:rsidR="00E025A7" w:rsidRPr="00B65403" w:rsidRDefault="00000000">
            <w:pPr>
              <w:spacing w:after="0" w:line="240" w:lineRule="auto"/>
              <w:jc w:val="center"/>
            </w:pPr>
            <w:r w:rsidRPr="00B65403">
              <w:rPr>
                <w:b/>
                <w:bCs/>
                <w:sz w:val="14"/>
                <w:szCs w:val="14"/>
              </w:rPr>
              <w:t>8%</w:t>
            </w:r>
          </w:p>
        </w:tc>
        <w:tc>
          <w:tcPr>
            <w:tcW w:w="748" w:type="dxa"/>
            <w:shd w:val="clear" w:color="auto" w:fill="E6F0F3"/>
            <w:tcMar>
              <w:top w:w="40" w:type="dxa"/>
              <w:left w:w="40" w:type="dxa"/>
              <w:bottom w:w="40" w:type="dxa"/>
              <w:right w:w="40" w:type="dxa"/>
            </w:tcMar>
            <w:vAlign w:val="center"/>
          </w:tcPr>
          <w:p w14:paraId="138A2BC7" w14:textId="77777777" w:rsidR="00E025A7" w:rsidRPr="00B65403" w:rsidRDefault="00000000">
            <w:pPr>
              <w:spacing w:after="0" w:line="240" w:lineRule="auto"/>
              <w:jc w:val="center"/>
            </w:pPr>
            <w:r w:rsidRPr="00B65403">
              <w:rPr>
                <w:sz w:val="14"/>
                <w:szCs w:val="14"/>
              </w:rPr>
              <w:t xml:space="preserve">294 </w:t>
            </w:r>
            <w:proofErr w:type="spellStart"/>
            <w:r w:rsidRPr="00B65403">
              <w:rPr>
                <w:sz w:val="14"/>
                <w:szCs w:val="14"/>
              </w:rPr>
              <w:t>kW</w:t>
            </w:r>
            <w:proofErr w:type="spellEnd"/>
          </w:p>
          <w:p w14:paraId="36BE1A5B" w14:textId="77777777" w:rsidR="00E025A7" w:rsidRPr="00B65403" w:rsidRDefault="00000000">
            <w:pPr>
              <w:spacing w:after="0" w:line="240" w:lineRule="auto"/>
              <w:jc w:val="center"/>
            </w:pPr>
            <w:r w:rsidRPr="00B65403">
              <w:rPr>
                <w:b/>
                <w:bCs/>
                <w:sz w:val="14"/>
                <w:szCs w:val="14"/>
              </w:rPr>
              <w:t>7%</w:t>
            </w:r>
          </w:p>
        </w:tc>
        <w:tc>
          <w:tcPr>
            <w:tcW w:w="748" w:type="dxa"/>
            <w:shd w:val="clear" w:color="auto" w:fill="E6F0F3"/>
            <w:tcMar>
              <w:top w:w="40" w:type="dxa"/>
              <w:left w:w="40" w:type="dxa"/>
              <w:bottom w:w="40" w:type="dxa"/>
              <w:right w:w="40" w:type="dxa"/>
            </w:tcMar>
            <w:vAlign w:val="center"/>
          </w:tcPr>
          <w:p w14:paraId="3605DD37" w14:textId="77777777" w:rsidR="00E025A7" w:rsidRPr="00B65403" w:rsidRDefault="00000000">
            <w:pPr>
              <w:spacing w:after="0" w:line="240" w:lineRule="auto"/>
              <w:jc w:val="center"/>
            </w:pPr>
            <w:r w:rsidRPr="00B65403">
              <w:rPr>
                <w:sz w:val="14"/>
                <w:szCs w:val="14"/>
              </w:rPr>
              <w:t xml:space="preserve">587 </w:t>
            </w:r>
            <w:proofErr w:type="spellStart"/>
            <w:r w:rsidRPr="00B65403">
              <w:rPr>
                <w:sz w:val="14"/>
                <w:szCs w:val="14"/>
              </w:rPr>
              <w:t>kW</w:t>
            </w:r>
            <w:proofErr w:type="spellEnd"/>
          </w:p>
          <w:p w14:paraId="1A045DC0" w14:textId="77777777" w:rsidR="00E025A7" w:rsidRPr="00B65403" w:rsidRDefault="00000000">
            <w:pPr>
              <w:spacing w:after="0" w:line="240" w:lineRule="auto"/>
              <w:jc w:val="center"/>
            </w:pPr>
            <w:r w:rsidRPr="00B65403">
              <w:rPr>
                <w:b/>
                <w:bCs/>
                <w:sz w:val="14"/>
                <w:szCs w:val="14"/>
              </w:rPr>
              <w:t>14%</w:t>
            </w:r>
          </w:p>
        </w:tc>
        <w:tc>
          <w:tcPr>
            <w:tcW w:w="748" w:type="dxa"/>
            <w:shd w:val="clear" w:color="auto" w:fill="E6F0F3"/>
            <w:tcMar>
              <w:top w:w="40" w:type="dxa"/>
              <w:left w:w="40" w:type="dxa"/>
              <w:bottom w:w="40" w:type="dxa"/>
              <w:right w:w="40" w:type="dxa"/>
            </w:tcMar>
            <w:vAlign w:val="center"/>
          </w:tcPr>
          <w:p w14:paraId="348D4F44" w14:textId="77777777" w:rsidR="00E025A7" w:rsidRPr="00B65403" w:rsidRDefault="00000000">
            <w:pPr>
              <w:spacing w:after="0" w:line="240" w:lineRule="auto"/>
              <w:jc w:val="center"/>
            </w:pPr>
            <w:r w:rsidRPr="00B65403">
              <w:rPr>
                <w:sz w:val="14"/>
                <w:szCs w:val="14"/>
              </w:rPr>
              <w:t xml:space="preserve">881 </w:t>
            </w:r>
            <w:proofErr w:type="spellStart"/>
            <w:r w:rsidRPr="00B65403">
              <w:rPr>
                <w:sz w:val="14"/>
                <w:szCs w:val="14"/>
              </w:rPr>
              <w:t>kW</w:t>
            </w:r>
            <w:proofErr w:type="spellEnd"/>
          </w:p>
          <w:p w14:paraId="2C26A63E" w14:textId="77777777" w:rsidR="00E025A7" w:rsidRPr="00B65403" w:rsidRDefault="00000000">
            <w:pPr>
              <w:spacing w:after="0" w:line="240" w:lineRule="auto"/>
              <w:jc w:val="center"/>
            </w:pPr>
            <w:r w:rsidRPr="00B65403">
              <w:rPr>
                <w:b/>
                <w:bCs/>
                <w:sz w:val="14"/>
                <w:szCs w:val="14"/>
              </w:rPr>
              <w:t>21%</w:t>
            </w:r>
          </w:p>
        </w:tc>
        <w:tc>
          <w:tcPr>
            <w:tcW w:w="748" w:type="dxa"/>
            <w:shd w:val="clear" w:color="auto" w:fill="D5E6EC"/>
            <w:tcMar>
              <w:top w:w="40" w:type="dxa"/>
              <w:left w:w="40" w:type="dxa"/>
              <w:bottom w:w="40" w:type="dxa"/>
              <w:right w:w="40" w:type="dxa"/>
            </w:tcMar>
            <w:vAlign w:val="center"/>
          </w:tcPr>
          <w:p w14:paraId="61C45763" w14:textId="77777777" w:rsidR="00E025A7" w:rsidRPr="00B65403" w:rsidRDefault="00000000">
            <w:pPr>
              <w:spacing w:after="0" w:line="240" w:lineRule="auto"/>
              <w:jc w:val="center"/>
            </w:pPr>
            <w:r w:rsidRPr="00B65403">
              <w:rPr>
                <w:sz w:val="14"/>
                <w:szCs w:val="14"/>
              </w:rPr>
              <w:t xml:space="preserve">555 </w:t>
            </w:r>
            <w:proofErr w:type="spellStart"/>
            <w:r w:rsidRPr="00B65403">
              <w:rPr>
                <w:sz w:val="14"/>
                <w:szCs w:val="14"/>
              </w:rPr>
              <w:t>kW</w:t>
            </w:r>
            <w:proofErr w:type="spellEnd"/>
          </w:p>
          <w:p w14:paraId="44595A04" w14:textId="77777777" w:rsidR="00E025A7" w:rsidRPr="00B65403" w:rsidRDefault="00000000">
            <w:pPr>
              <w:spacing w:after="0" w:line="240" w:lineRule="auto"/>
              <w:jc w:val="center"/>
            </w:pPr>
            <w:r w:rsidRPr="00B65403">
              <w:rPr>
                <w:b/>
                <w:bCs/>
                <w:sz w:val="14"/>
                <w:szCs w:val="14"/>
              </w:rPr>
              <w:t>11%</w:t>
            </w:r>
          </w:p>
        </w:tc>
        <w:tc>
          <w:tcPr>
            <w:tcW w:w="748" w:type="dxa"/>
            <w:shd w:val="clear" w:color="auto" w:fill="D5E6EC"/>
            <w:tcMar>
              <w:top w:w="40" w:type="dxa"/>
              <w:left w:w="40" w:type="dxa"/>
              <w:bottom w:w="40" w:type="dxa"/>
              <w:right w:w="40" w:type="dxa"/>
            </w:tcMar>
            <w:vAlign w:val="center"/>
          </w:tcPr>
          <w:p w14:paraId="32DF1841" w14:textId="77777777" w:rsidR="00E025A7" w:rsidRPr="00B65403" w:rsidRDefault="00000000">
            <w:pPr>
              <w:spacing w:after="0" w:line="240" w:lineRule="auto"/>
              <w:jc w:val="center"/>
            </w:pPr>
            <w:r w:rsidRPr="00B65403">
              <w:rPr>
                <w:sz w:val="14"/>
                <w:szCs w:val="14"/>
              </w:rPr>
              <w:t xml:space="preserve">1.109 </w:t>
            </w:r>
            <w:proofErr w:type="spellStart"/>
            <w:r w:rsidRPr="00B65403">
              <w:rPr>
                <w:sz w:val="14"/>
                <w:szCs w:val="14"/>
              </w:rPr>
              <w:t>kW</w:t>
            </w:r>
            <w:proofErr w:type="spellEnd"/>
          </w:p>
          <w:p w14:paraId="33B2566C" w14:textId="77777777" w:rsidR="00E025A7" w:rsidRPr="00B65403" w:rsidRDefault="00000000">
            <w:pPr>
              <w:spacing w:after="0" w:line="240" w:lineRule="auto"/>
              <w:jc w:val="center"/>
            </w:pPr>
            <w:r w:rsidRPr="00B65403">
              <w:rPr>
                <w:b/>
                <w:bCs/>
                <w:sz w:val="14"/>
                <w:szCs w:val="14"/>
              </w:rPr>
              <w:t>23%</w:t>
            </w:r>
          </w:p>
        </w:tc>
        <w:tc>
          <w:tcPr>
            <w:tcW w:w="748" w:type="dxa"/>
            <w:shd w:val="clear" w:color="auto" w:fill="D5E6EC"/>
            <w:tcMar>
              <w:top w:w="40" w:type="dxa"/>
              <w:left w:w="40" w:type="dxa"/>
              <w:bottom w:w="40" w:type="dxa"/>
              <w:right w:w="40" w:type="dxa"/>
            </w:tcMar>
            <w:vAlign w:val="center"/>
          </w:tcPr>
          <w:p w14:paraId="5BAA3AC9" w14:textId="77777777" w:rsidR="00E025A7" w:rsidRPr="00B65403" w:rsidRDefault="00000000">
            <w:pPr>
              <w:spacing w:after="0" w:line="240" w:lineRule="auto"/>
              <w:jc w:val="center"/>
            </w:pPr>
            <w:r w:rsidRPr="00B65403">
              <w:rPr>
                <w:sz w:val="14"/>
                <w:szCs w:val="14"/>
              </w:rPr>
              <w:t xml:space="preserve">1.664 </w:t>
            </w:r>
            <w:proofErr w:type="spellStart"/>
            <w:r w:rsidRPr="00B65403">
              <w:rPr>
                <w:sz w:val="14"/>
                <w:szCs w:val="14"/>
              </w:rPr>
              <w:t>kW</w:t>
            </w:r>
            <w:proofErr w:type="spellEnd"/>
          </w:p>
          <w:p w14:paraId="2C9E0AC9" w14:textId="77777777" w:rsidR="00E025A7" w:rsidRPr="00B65403" w:rsidRDefault="00000000">
            <w:pPr>
              <w:spacing w:after="0" w:line="240" w:lineRule="auto"/>
              <w:jc w:val="center"/>
            </w:pPr>
            <w:r w:rsidRPr="00B65403">
              <w:rPr>
                <w:b/>
                <w:bCs/>
                <w:sz w:val="14"/>
                <w:szCs w:val="14"/>
              </w:rPr>
              <w:t>34%</w:t>
            </w:r>
          </w:p>
        </w:tc>
      </w:tr>
      <w:tr w:rsidR="00E025A7" w14:paraId="30CE9699" w14:textId="77777777">
        <w:trPr>
          <w:cantSplit/>
          <w:jc w:val="center"/>
        </w:trPr>
        <w:tc>
          <w:tcPr>
            <w:tcW w:w="1000" w:type="dxa"/>
            <w:vMerge/>
            <w:shd w:val="clear" w:color="auto" w:fill="EFEFEF"/>
            <w:tcMar>
              <w:top w:w="40" w:type="dxa"/>
              <w:left w:w="40" w:type="dxa"/>
              <w:bottom w:w="40" w:type="dxa"/>
              <w:right w:w="40" w:type="dxa"/>
            </w:tcMar>
            <w:vAlign w:val="center"/>
          </w:tcPr>
          <w:p w14:paraId="03CD15B9" w14:textId="77777777" w:rsidR="00E025A7" w:rsidRPr="00B65403" w:rsidRDefault="00E025A7">
            <w:pPr>
              <w:spacing w:after="0" w:line="240" w:lineRule="auto"/>
              <w:jc w:val="center"/>
            </w:pPr>
          </w:p>
        </w:tc>
        <w:tc>
          <w:tcPr>
            <w:tcW w:w="900" w:type="dxa"/>
            <w:shd w:val="clear" w:color="auto" w:fill="EFEFEF"/>
            <w:tcMar>
              <w:top w:w="40" w:type="dxa"/>
              <w:left w:w="40" w:type="dxa"/>
              <w:bottom w:w="40" w:type="dxa"/>
              <w:right w:w="40" w:type="dxa"/>
            </w:tcMar>
            <w:vAlign w:val="center"/>
          </w:tcPr>
          <w:p w14:paraId="6DC701B1" w14:textId="77777777" w:rsidR="00E025A7" w:rsidRPr="00B65403" w:rsidRDefault="00000000">
            <w:pPr>
              <w:spacing w:after="0" w:line="240" w:lineRule="auto"/>
              <w:jc w:val="center"/>
            </w:pPr>
            <w:proofErr w:type="spellStart"/>
            <w:r w:rsidRPr="00B65403">
              <w:rPr>
                <w:b/>
                <w:bCs/>
                <w:sz w:val="14"/>
                <w:szCs w:val="14"/>
              </w:rPr>
              <w:t>Panamax</w:t>
            </w:r>
            <w:proofErr w:type="spellEnd"/>
          </w:p>
        </w:tc>
        <w:tc>
          <w:tcPr>
            <w:tcW w:w="748" w:type="dxa"/>
            <w:shd w:val="clear" w:color="auto" w:fill="F7EFE4"/>
            <w:tcMar>
              <w:top w:w="40" w:type="dxa"/>
              <w:left w:w="40" w:type="dxa"/>
              <w:bottom w:w="40" w:type="dxa"/>
              <w:right w:w="40" w:type="dxa"/>
            </w:tcMar>
            <w:vAlign w:val="center"/>
          </w:tcPr>
          <w:p w14:paraId="0698D8F1" w14:textId="77777777" w:rsidR="00E025A7" w:rsidRPr="00B65403" w:rsidRDefault="00000000">
            <w:pPr>
              <w:spacing w:after="0" w:line="240" w:lineRule="auto"/>
              <w:jc w:val="center"/>
            </w:pPr>
            <w:r w:rsidRPr="00B65403">
              <w:rPr>
                <w:sz w:val="14"/>
                <w:szCs w:val="14"/>
              </w:rPr>
              <w:t xml:space="preserve">112 </w:t>
            </w:r>
            <w:proofErr w:type="spellStart"/>
            <w:r w:rsidRPr="00B65403">
              <w:rPr>
                <w:sz w:val="14"/>
                <w:szCs w:val="14"/>
              </w:rPr>
              <w:t>kW</w:t>
            </w:r>
            <w:proofErr w:type="spellEnd"/>
          </w:p>
          <w:p w14:paraId="30C74FEC" w14:textId="77777777" w:rsidR="00E025A7" w:rsidRPr="00B65403" w:rsidRDefault="00000000">
            <w:pPr>
              <w:spacing w:after="0" w:line="240" w:lineRule="auto"/>
              <w:jc w:val="center"/>
            </w:pPr>
            <w:r w:rsidRPr="00B65403">
              <w:rPr>
                <w:b/>
                <w:bCs/>
                <w:sz w:val="14"/>
                <w:szCs w:val="14"/>
              </w:rPr>
              <w:t>3%</w:t>
            </w:r>
          </w:p>
        </w:tc>
        <w:tc>
          <w:tcPr>
            <w:tcW w:w="748" w:type="dxa"/>
            <w:shd w:val="clear" w:color="auto" w:fill="F7EFE4"/>
            <w:tcMar>
              <w:top w:w="40" w:type="dxa"/>
              <w:left w:w="40" w:type="dxa"/>
              <w:bottom w:w="40" w:type="dxa"/>
              <w:right w:w="40" w:type="dxa"/>
            </w:tcMar>
            <w:vAlign w:val="center"/>
          </w:tcPr>
          <w:p w14:paraId="6951D751" w14:textId="77777777" w:rsidR="00E025A7" w:rsidRPr="00B65403" w:rsidRDefault="00000000">
            <w:pPr>
              <w:spacing w:after="0" w:line="240" w:lineRule="auto"/>
              <w:jc w:val="center"/>
            </w:pPr>
            <w:r w:rsidRPr="00B65403">
              <w:rPr>
                <w:sz w:val="14"/>
                <w:szCs w:val="14"/>
              </w:rPr>
              <w:t xml:space="preserve">224 </w:t>
            </w:r>
            <w:proofErr w:type="spellStart"/>
            <w:r w:rsidRPr="00B65403">
              <w:rPr>
                <w:sz w:val="14"/>
                <w:szCs w:val="14"/>
              </w:rPr>
              <w:t>kW</w:t>
            </w:r>
            <w:proofErr w:type="spellEnd"/>
          </w:p>
          <w:p w14:paraId="03BE1C51" w14:textId="77777777" w:rsidR="00E025A7" w:rsidRPr="00B65403" w:rsidRDefault="00000000">
            <w:pPr>
              <w:spacing w:after="0" w:line="240" w:lineRule="auto"/>
              <w:jc w:val="center"/>
            </w:pPr>
            <w:r w:rsidRPr="00B65403">
              <w:rPr>
                <w:b/>
                <w:bCs/>
                <w:sz w:val="14"/>
                <w:szCs w:val="14"/>
              </w:rPr>
              <w:t>5%</w:t>
            </w:r>
          </w:p>
        </w:tc>
        <w:tc>
          <w:tcPr>
            <w:tcW w:w="748" w:type="dxa"/>
            <w:shd w:val="clear" w:color="auto" w:fill="F7EFE4"/>
            <w:tcMar>
              <w:top w:w="40" w:type="dxa"/>
              <w:left w:w="40" w:type="dxa"/>
              <w:bottom w:w="40" w:type="dxa"/>
              <w:right w:w="40" w:type="dxa"/>
            </w:tcMar>
            <w:vAlign w:val="center"/>
          </w:tcPr>
          <w:p w14:paraId="2F50F365" w14:textId="77777777" w:rsidR="00E025A7" w:rsidRPr="00B65403" w:rsidRDefault="00000000">
            <w:pPr>
              <w:spacing w:after="0" w:line="240" w:lineRule="auto"/>
              <w:jc w:val="center"/>
            </w:pPr>
            <w:r w:rsidRPr="00B65403">
              <w:rPr>
                <w:sz w:val="14"/>
                <w:szCs w:val="14"/>
              </w:rPr>
              <w:t xml:space="preserve">336 </w:t>
            </w:r>
            <w:proofErr w:type="spellStart"/>
            <w:r w:rsidRPr="00B65403">
              <w:rPr>
                <w:sz w:val="14"/>
                <w:szCs w:val="14"/>
              </w:rPr>
              <w:t>kW</w:t>
            </w:r>
            <w:proofErr w:type="spellEnd"/>
          </w:p>
          <w:p w14:paraId="4F96245C" w14:textId="77777777" w:rsidR="00E025A7" w:rsidRPr="00B65403" w:rsidRDefault="00000000">
            <w:pPr>
              <w:spacing w:after="0" w:line="240" w:lineRule="auto"/>
              <w:jc w:val="center"/>
            </w:pPr>
            <w:r w:rsidRPr="00B65403">
              <w:rPr>
                <w:b/>
                <w:bCs/>
                <w:sz w:val="14"/>
                <w:szCs w:val="14"/>
              </w:rPr>
              <w:t>8%</w:t>
            </w:r>
          </w:p>
        </w:tc>
        <w:tc>
          <w:tcPr>
            <w:tcW w:w="748" w:type="dxa"/>
            <w:shd w:val="clear" w:color="auto" w:fill="E6F0F3"/>
            <w:tcMar>
              <w:top w:w="40" w:type="dxa"/>
              <w:left w:w="40" w:type="dxa"/>
              <w:bottom w:w="40" w:type="dxa"/>
              <w:right w:w="40" w:type="dxa"/>
            </w:tcMar>
            <w:vAlign w:val="center"/>
          </w:tcPr>
          <w:p w14:paraId="4DFDBFE1" w14:textId="77777777" w:rsidR="00E025A7" w:rsidRPr="00B65403" w:rsidRDefault="00000000">
            <w:pPr>
              <w:spacing w:after="0" w:line="240" w:lineRule="auto"/>
              <w:jc w:val="center"/>
            </w:pPr>
            <w:r w:rsidRPr="00B65403">
              <w:rPr>
                <w:sz w:val="14"/>
                <w:szCs w:val="14"/>
              </w:rPr>
              <w:t xml:space="preserve">313 </w:t>
            </w:r>
            <w:proofErr w:type="spellStart"/>
            <w:r w:rsidRPr="00B65403">
              <w:rPr>
                <w:sz w:val="14"/>
                <w:szCs w:val="14"/>
              </w:rPr>
              <w:t>kW</w:t>
            </w:r>
            <w:proofErr w:type="spellEnd"/>
          </w:p>
          <w:p w14:paraId="1AB6E824" w14:textId="77777777" w:rsidR="00E025A7" w:rsidRPr="00B65403" w:rsidRDefault="00000000">
            <w:pPr>
              <w:spacing w:after="0" w:line="240" w:lineRule="auto"/>
              <w:jc w:val="center"/>
            </w:pPr>
            <w:r w:rsidRPr="00B65403">
              <w:rPr>
                <w:b/>
                <w:bCs/>
                <w:sz w:val="14"/>
                <w:szCs w:val="14"/>
              </w:rPr>
              <w:t>7%</w:t>
            </w:r>
          </w:p>
        </w:tc>
        <w:tc>
          <w:tcPr>
            <w:tcW w:w="748" w:type="dxa"/>
            <w:shd w:val="clear" w:color="auto" w:fill="E6F0F3"/>
            <w:tcMar>
              <w:top w:w="40" w:type="dxa"/>
              <w:left w:w="40" w:type="dxa"/>
              <w:bottom w:w="40" w:type="dxa"/>
              <w:right w:w="40" w:type="dxa"/>
            </w:tcMar>
            <w:vAlign w:val="center"/>
          </w:tcPr>
          <w:p w14:paraId="75F478E7" w14:textId="77777777" w:rsidR="00E025A7" w:rsidRPr="00B65403" w:rsidRDefault="00000000">
            <w:pPr>
              <w:spacing w:after="0" w:line="240" w:lineRule="auto"/>
              <w:jc w:val="center"/>
            </w:pPr>
            <w:r w:rsidRPr="00B65403">
              <w:rPr>
                <w:sz w:val="14"/>
                <w:szCs w:val="14"/>
              </w:rPr>
              <w:t xml:space="preserve">626 </w:t>
            </w:r>
            <w:proofErr w:type="spellStart"/>
            <w:r w:rsidRPr="00B65403">
              <w:rPr>
                <w:sz w:val="14"/>
                <w:szCs w:val="14"/>
              </w:rPr>
              <w:t>kW</w:t>
            </w:r>
            <w:proofErr w:type="spellEnd"/>
          </w:p>
          <w:p w14:paraId="3ECF2F3A" w14:textId="77777777" w:rsidR="00E025A7" w:rsidRPr="00B65403" w:rsidRDefault="00000000">
            <w:pPr>
              <w:spacing w:after="0" w:line="240" w:lineRule="auto"/>
              <w:jc w:val="center"/>
            </w:pPr>
            <w:r w:rsidRPr="00B65403">
              <w:rPr>
                <w:b/>
                <w:bCs/>
                <w:sz w:val="14"/>
                <w:szCs w:val="14"/>
              </w:rPr>
              <w:t>14%</w:t>
            </w:r>
          </w:p>
        </w:tc>
        <w:tc>
          <w:tcPr>
            <w:tcW w:w="748" w:type="dxa"/>
            <w:shd w:val="clear" w:color="auto" w:fill="E6F0F3"/>
            <w:tcMar>
              <w:top w:w="40" w:type="dxa"/>
              <w:left w:w="40" w:type="dxa"/>
              <w:bottom w:w="40" w:type="dxa"/>
              <w:right w:w="40" w:type="dxa"/>
            </w:tcMar>
            <w:vAlign w:val="center"/>
          </w:tcPr>
          <w:p w14:paraId="2D53A0E8" w14:textId="77777777" w:rsidR="00E025A7" w:rsidRPr="00B65403" w:rsidRDefault="00000000">
            <w:pPr>
              <w:spacing w:after="0" w:line="240" w:lineRule="auto"/>
              <w:jc w:val="center"/>
            </w:pPr>
            <w:r w:rsidRPr="00B65403">
              <w:rPr>
                <w:sz w:val="14"/>
                <w:szCs w:val="14"/>
              </w:rPr>
              <w:t xml:space="preserve">939 </w:t>
            </w:r>
            <w:proofErr w:type="spellStart"/>
            <w:r w:rsidRPr="00B65403">
              <w:rPr>
                <w:sz w:val="14"/>
                <w:szCs w:val="14"/>
              </w:rPr>
              <w:t>kW</w:t>
            </w:r>
            <w:proofErr w:type="spellEnd"/>
          </w:p>
          <w:p w14:paraId="7C50C024" w14:textId="77777777" w:rsidR="00E025A7" w:rsidRPr="00B65403" w:rsidRDefault="00000000">
            <w:pPr>
              <w:spacing w:after="0" w:line="240" w:lineRule="auto"/>
              <w:jc w:val="center"/>
            </w:pPr>
            <w:r w:rsidRPr="00B65403">
              <w:rPr>
                <w:b/>
                <w:bCs/>
                <w:sz w:val="14"/>
                <w:szCs w:val="14"/>
              </w:rPr>
              <w:t>21%</w:t>
            </w:r>
          </w:p>
        </w:tc>
        <w:tc>
          <w:tcPr>
            <w:tcW w:w="748" w:type="dxa"/>
            <w:shd w:val="clear" w:color="auto" w:fill="D5E6EC"/>
            <w:tcMar>
              <w:top w:w="40" w:type="dxa"/>
              <w:left w:w="40" w:type="dxa"/>
              <w:bottom w:w="40" w:type="dxa"/>
              <w:right w:w="40" w:type="dxa"/>
            </w:tcMar>
            <w:vAlign w:val="center"/>
          </w:tcPr>
          <w:p w14:paraId="40E81971" w14:textId="77777777" w:rsidR="00E025A7" w:rsidRPr="00B65403" w:rsidRDefault="00000000">
            <w:pPr>
              <w:spacing w:after="0" w:line="240" w:lineRule="auto"/>
              <w:jc w:val="center"/>
            </w:pPr>
            <w:r w:rsidRPr="00B65403">
              <w:rPr>
                <w:sz w:val="14"/>
                <w:szCs w:val="14"/>
              </w:rPr>
              <w:t xml:space="preserve">591 </w:t>
            </w:r>
            <w:proofErr w:type="spellStart"/>
            <w:r w:rsidRPr="00B65403">
              <w:rPr>
                <w:sz w:val="14"/>
                <w:szCs w:val="14"/>
              </w:rPr>
              <w:t>kW</w:t>
            </w:r>
            <w:proofErr w:type="spellEnd"/>
          </w:p>
          <w:p w14:paraId="2324E157" w14:textId="77777777" w:rsidR="00E025A7" w:rsidRPr="00B65403" w:rsidRDefault="00000000">
            <w:pPr>
              <w:spacing w:after="0" w:line="240" w:lineRule="auto"/>
              <w:jc w:val="center"/>
            </w:pPr>
            <w:r w:rsidRPr="00B65403">
              <w:rPr>
                <w:b/>
                <w:bCs/>
                <w:sz w:val="14"/>
                <w:szCs w:val="14"/>
              </w:rPr>
              <w:t>11%</w:t>
            </w:r>
          </w:p>
        </w:tc>
        <w:tc>
          <w:tcPr>
            <w:tcW w:w="748" w:type="dxa"/>
            <w:shd w:val="clear" w:color="auto" w:fill="D5E6EC"/>
            <w:tcMar>
              <w:top w:w="40" w:type="dxa"/>
              <w:left w:w="40" w:type="dxa"/>
              <w:bottom w:w="40" w:type="dxa"/>
              <w:right w:w="40" w:type="dxa"/>
            </w:tcMar>
            <w:vAlign w:val="center"/>
          </w:tcPr>
          <w:p w14:paraId="58E57F8D" w14:textId="77777777" w:rsidR="00E025A7" w:rsidRPr="00B65403" w:rsidRDefault="00000000">
            <w:pPr>
              <w:spacing w:after="0" w:line="240" w:lineRule="auto"/>
              <w:jc w:val="center"/>
            </w:pPr>
            <w:r w:rsidRPr="00B65403">
              <w:rPr>
                <w:sz w:val="14"/>
                <w:szCs w:val="14"/>
              </w:rPr>
              <w:t xml:space="preserve">1.182 </w:t>
            </w:r>
            <w:proofErr w:type="spellStart"/>
            <w:r w:rsidRPr="00B65403">
              <w:rPr>
                <w:sz w:val="14"/>
                <w:szCs w:val="14"/>
              </w:rPr>
              <w:t>kW</w:t>
            </w:r>
            <w:proofErr w:type="spellEnd"/>
          </w:p>
          <w:p w14:paraId="775B1FDB" w14:textId="77777777" w:rsidR="00E025A7" w:rsidRPr="00B65403" w:rsidRDefault="00000000">
            <w:pPr>
              <w:spacing w:after="0" w:line="240" w:lineRule="auto"/>
              <w:jc w:val="center"/>
            </w:pPr>
            <w:r w:rsidRPr="00B65403">
              <w:rPr>
                <w:b/>
                <w:bCs/>
                <w:sz w:val="14"/>
                <w:szCs w:val="14"/>
              </w:rPr>
              <w:t>23%</w:t>
            </w:r>
          </w:p>
        </w:tc>
        <w:tc>
          <w:tcPr>
            <w:tcW w:w="748" w:type="dxa"/>
            <w:shd w:val="clear" w:color="auto" w:fill="D5E6EC"/>
            <w:tcMar>
              <w:top w:w="40" w:type="dxa"/>
              <w:left w:w="40" w:type="dxa"/>
              <w:bottom w:w="40" w:type="dxa"/>
              <w:right w:w="40" w:type="dxa"/>
            </w:tcMar>
            <w:vAlign w:val="center"/>
          </w:tcPr>
          <w:p w14:paraId="7DE21A61" w14:textId="77777777" w:rsidR="00E025A7" w:rsidRPr="00B65403" w:rsidRDefault="00000000">
            <w:pPr>
              <w:spacing w:after="0" w:line="240" w:lineRule="auto"/>
              <w:jc w:val="center"/>
            </w:pPr>
            <w:r w:rsidRPr="00B65403">
              <w:rPr>
                <w:sz w:val="14"/>
                <w:szCs w:val="14"/>
              </w:rPr>
              <w:t xml:space="preserve">1.773 </w:t>
            </w:r>
            <w:proofErr w:type="spellStart"/>
            <w:r w:rsidRPr="00B65403">
              <w:rPr>
                <w:sz w:val="14"/>
                <w:szCs w:val="14"/>
              </w:rPr>
              <w:t>kW</w:t>
            </w:r>
            <w:proofErr w:type="spellEnd"/>
          </w:p>
          <w:p w14:paraId="661AE4F6" w14:textId="77777777" w:rsidR="00E025A7" w:rsidRPr="00B65403" w:rsidRDefault="00000000">
            <w:pPr>
              <w:spacing w:after="0" w:line="240" w:lineRule="auto"/>
              <w:jc w:val="center"/>
            </w:pPr>
            <w:r w:rsidRPr="00B65403">
              <w:rPr>
                <w:b/>
                <w:bCs/>
                <w:sz w:val="14"/>
                <w:szCs w:val="14"/>
              </w:rPr>
              <w:t>34%</w:t>
            </w:r>
          </w:p>
        </w:tc>
      </w:tr>
      <w:tr w:rsidR="00E025A7" w14:paraId="32BC3E19" w14:textId="77777777">
        <w:trPr>
          <w:cantSplit/>
          <w:jc w:val="center"/>
        </w:trPr>
        <w:tc>
          <w:tcPr>
            <w:tcW w:w="1000" w:type="dxa"/>
            <w:vMerge/>
            <w:shd w:val="clear" w:color="auto" w:fill="EFEFEF"/>
            <w:tcMar>
              <w:top w:w="40" w:type="dxa"/>
              <w:left w:w="40" w:type="dxa"/>
              <w:bottom w:w="40" w:type="dxa"/>
              <w:right w:w="40" w:type="dxa"/>
            </w:tcMar>
            <w:vAlign w:val="center"/>
          </w:tcPr>
          <w:p w14:paraId="00742E46" w14:textId="77777777" w:rsidR="00E025A7" w:rsidRPr="00B65403" w:rsidRDefault="00E025A7">
            <w:pPr>
              <w:spacing w:after="0" w:line="240" w:lineRule="auto"/>
              <w:jc w:val="center"/>
            </w:pPr>
          </w:p>
        </w:tc>
        <w:tc>
          <w:tcPr>
            <w:tcW w:w="900" w:type="dxa"/>
            <w:shd w:val="clear" w:color="auto" w:fill="EFEFEF"/>
            <w:tcMar>
              <w:top w:w="40" w:type="dxa"/>
              <w:left w:w="40" w:type="dxa"/>
              <w:bottom w:w="40" w:type="dxa"/>
              <w:right w:w="40" w:type="dxa"/>
            </w:tcMar>
            <w:vAlign w:val="center"/>
          </w:tcPr>
          <w:p w14:paraId="041FD9DF" w14:textId="77777777" w:rsidR="00E025A7" w:rsidRPr="00B65403" w:rsidRDefault="00000000">
            <w:pPr>
              <w:spacing w:after="0" w:line="240" w:lineRule="auto"/>
              <w:jc w:val="center"/>
            </w:pPr>
            <w:proofErr w:type="spellStart"/>
            <w:r w:rsidRPr="00B65403">
              <w:rPr>
                <w:b/>
                <w:bCs/>
                <w:sz w:val="14"/>
                <w:szCs w:val="14"/>
              </w:rPr>
              <w:t>Kamsarmax</w:t>
            </w:r>
            <w:proofErr w:type="spellEnd"/>
          </w:p>
        </w:tc>
        <w:tc>
          <w:tcPr>
            <w:tcW w:w="748" w:type="dxa"/>
            <w:shd w:val="clear" w:color="auto" w:fill="F7EFE4"/>
            <w:tcMar>
              <w:top w:w="40" w:type="dxa"/>
              <w:left w:w="40" w:type="dxa"/>
              <w:bottom w:w="40" w:type="dxa"/>
              <w:right w:w="40" w:type="dxa"/>
            </w:tcMar>
            <w:vAlign w:val="center"/>
          </w:tcPr>
          <w:p w14:paraId="54F5FA75" w14:textId="77777777" w:rsidR="00E025A7" w:rsidRPr="00B65403" w:rsidRDefault="00000000">
            <w:pPr>
              <w:spacing w:after="0" w:line="240" w:lineRule="auto"/>
              <w:jc w:val="center"/>
            </w:pPr>
            <w:r w:rsidRPr="00B65403">
              <w:rPr>
                <w:sz w:val="14"/>
                <w:szCs w:val="14"/>
              </w:rPr>
              <w:t xml:space="preserve">108 </w:t>
            </w:r>
            <w:proofErr w:type="spellStart"/>
            <w:r w:rsidRPr="00B65403">
              <w:rPr>
                <w:sz w:val="14"/>
                <w:szCs w:val="14"/>
              </w:rPr>
              <w:t>kW</w:t>
            </w:r>
            <w:proofErr w:type="spellEnd"/>
          </w:p>
          <w:p w14:paraId="7B96338C" w14:textId="77777777" w:rsidR="00E025A7" w:rsidRPr="00B65403" w:rsidRDefault="00000000">
            <w:pPr>
              <w:spacing w:after="0" w:line="240" w:lineRule="auto"/>
              <w:jc w:val="center"/>
            </w:pPr>
            <w:r w:rsidRPr="00B65403">
              <w:rPr>
                <w:b/>
                <w:bCs/>
                <w:sz w:val="14"/>
                <w:szCs w:val="14"/>
              </w:rPr>
              <w:t>2%</w:t>
            </w:r>
          </w:p>
        </w:tc>
        <w:tc>
          <w:tcPr>
            <w:tcW w:w="748" w:type="dxa"/>
            <w:shd w:val="clear" w:color="auto" w:fill="F7EFE4"/>
            <w:tcMar>
              <w:top w:w="40" w:type="dxa"/>
              <w:left w:w="40" w:type="dxa"/>
              <w:bottom w:w="40" w:type="dxa"/>
              <w:right w:w="40" w:type="dxa"/>
            </w:tcMar>
            <w:vAlign w:val="center"/>
          </w:tcPr>
          <w:p w14:paraId="4C448908" w14:textId="77777777" w:rsidR="00E025A7" w:rsidRPr="00B65403" w:rsidRDefault="00000000">
            <w:pPr>
              <w:spacing w:after="0" w:line="240" w:lineRule="auto"/>
              <w:jc w:val="center"/>
            </w:pPr>
            <w:r w:rsidRPr="00B65403">
              <w:rPr>
                <w:sz w:val="14"/>
                <w:szCs w:val="14"/>
              </w:rPr>
              <w:t xml:space="preserve">215 </w:t>
            </w:r>
            <w:proofErr w:type="spellStart"/>
            <w:r w:rsidRPr="00B65403">
              <w:rPr>
                <w:sz w:val="14"/>
                <w:szCs w:val="14"/>
              </w:rPr>
              <w:t>kW</w:t>
            </w:r>
            <w:proofErr w:type="spellEnd"/>
          </w:p>
          <w:p w14:paraId="7C49C574" w14:textId="77777777" w:rsidR="00E025A7" w:rsidRPr="00B65403" w:rsidRDefault="00000000">
            <w:pPr>
              <w:spacing w:after="0" w:line="240" w:lineRule="auto"/>
              <w:jc w:val="center"/>
            </w:pPr>
            <w:r w:rsidRPr="00B65403">
              <w:rPr>
                <w:b/>
                <w:bCs/>
                <w:sz w:val="14"/>
                <w:szCs w:val="14"/>
              </w:rPr>
              <w:t>5%</w:t>
            </w:r>
          </w:p>
        </w:tc>
        <w:tc>
          <w:tcPr>
            <w:tcW w:w="748" w:type="dxa"/>
            <w:shd w:val="clear" w:color="auto" w:fill="F7EFE4"/>
            <w:tcMar>
              <w:top w:w="40" w:type="dxa"/>
              <w:left w:w="40" w:type="dxa"/>
              <w:bottom w:w="40" w:type="dxa"/>
              <w:right w:w="40" w:type="dxa"/>
            </w:tcMar>
            <w:vAlign w:val="center"/>
          </w:tcPr>
          <w:p w14:paraId="3528F345" w14:textId="77777777" w:rsidR="00E025A7" w:rsidRPr="00B65403" w:rsidRDefault="00000000">
            <w:pPr>
              <w:spacing w:after="0" w:line="240" w:lineRule="auto"/>
              <w:jc w:val="center"/>
            </w:pPr>
            <w:r w:rsidRPr="00B65403">
              <w:rPr>
                <w:sz w:val="14"/>
                <w:szCs w:val="14"/>
              </w:rPr>
              <w:t xml:space="preserve">323 </w:t>
            </w:r>
            <w:proofErr w:type="spellStart"/>
            <w:r w:rsidRPr="00B65403">
              <w:rPr>
                <w:sz w:val="14"/>
                <w:szCs w:val="14"/>
              </w:rPr>
              <w:t>kW</w:t>
            </w:r>
            <w:proofErr w:type="spellEnd"/>
          </w:p>
          <w:p w14:paraId="7F0968EB" w14:textId="77777777" w:rsidR="00E025A7" w:rsidRPr="00B65403" w:rsidRDefault="00000000">
            <w:pPr>
              <w:spacing w:after="0" w:line="240" w:lineRule="auto"/>
              <w:jc w:val="center"/>
            </w:pPr>
            <w:r w:rsidRPr="00B65403">
              <w:rPr>
                <w:b/>
                <w:bCs/>
                <w:sz w:val="14"/>
                <w:szCs w:val="14"/>
              </w:rPr>
              <w:t>7%</w:t>
            </w:r>
          </w:p>
        </w:tc>
        <w:tc>
          <w:tcPr>
            <w:tcW w:w="748" w:type="dxa"/>
            <w:shd w:val="clear" w:color="auto" w:fill="E6F0F3"/>
            <w:tcMar>
              <w:top w:w="40" w:type="dxa"/>
              <w:left w:w="40" w:type="dxa"/>
              <w:bottom w:w="40" w:type="dxa"/>
              <w:right w:w="40" w:type="dxa"/>
            </w:tcMar>
            <w:vAlign w:val="center"/>
          </w:tcPr>
          <w:p w14:paraId="270AEAD2" w14:textId="77777777" w:rsidR="00E025A7" w:rsidRPr="00B65403" w:rsidRDefault="00000000">
            <w:pPr>
              <w:spacing w:after="0" w:line="240" w:lineRule="auto"/>
              <w:jc w:val="center"/>
            </w:pPr>
            <w:r w:rsidRPr="00B65403">
              <w:rPr>
                <w:sz w:val="14"/>
                <w:szCs w:val="14"/>
              </w:rPr>
              <w:t xml:space="preserve">300 </w:t>
            </w:r>
            <w:proofErr w:type="spellStart"/>
            <w:r w:rsidRPr="00B65403">
              <w:rPr>
                <w:sz w:val="14"/>
                <w:szCs w:val="14"/>
              </w:rPr>
              <w:t>kW</w:t>
            </w:r>
            <w:proofErr w:type="spellEnd"/>
          </w:p>
          <w:p w14:paraId="68DF400C" w14:textId="77777777" w:rsidR="00E025A7" w:rsidRPr="00B65403" w:rsidRDefault="00000000">
            <w:pPr>
              <w:spacing w:after="0" w:line="240" w:lineRule="auto"/>
              <w:jc w:val="center"/>
            </w:pPr>
            <w:r w:rsidRPr="00B65403">
              <w:rPr>
                <w:b/>
                <w:bCs/>
                <w:sz w:val="14"/>
                <w:szCs w:val="14"/>
              </w:rPr>
              <w:t>6%</w:t>
            </w:r>
          </w:p>
        </w:tc>
        <w:tc>
          <w:tcPr>
            <w:tcW w:w="748" w:type="dxa"/>
            <w:shd w:val="clear" w:color="auto" w:fill="E6F0F3"/>
            <w:tcMar>
              <w:top w:w="40" w:type="dxa"/>
              <w:left w:w="40" w:type="dxa"/>
              <w:bottom w:w="40" w:type="dxa"/>
              <w:right w:w="40" w:type="dxa"/>
            </w:tcMar>
            <w:vAlign w:val="center"/>
          </w:tcPr>
          <w:p w14:paraId="57A8EA51" w14:textId="77777777" w:rsidR="00E025A7" w:rsidRPr="00B65403" w:rsidRDefault="00000000">
            <w:pPr>
              <w:spacing w:after="0" w:line="240" w:lineRule="auto"/>
              <w:jc w:val="center"/>
            </w:pPr>
            <w:r w:rsidRPr="00B65403">
              <w:rPr>
                <w:sz w:val="14"/>
                <w:szCs w:val="14"/>
              </w:rPr>
              <w:t xml:space="preserve">601 </w:t>
            </w:r>
            <w:proofErr w:type="spellStart"/>
            <w:r w:rsidRPr="00B65403">
              <w:rPr>
                <w:sz w:val="14"/>
                <w:szCs w:val="14"/>
              </w:rPr>
              <w:t>kW</w:t>
            </w:r>
            <w:proofErr w:type="spellEnd"/>
          </w:p>
          <w:p w14:paraId="06321D17" w14:textId="77777777" w:rsidR="00E025A7" w:rsidRPr="00B65403" w:rsidRDefault="00000000">
            <w:pPr>
              <w:spacing w:after="0" w:line="240" w:lineRule="auto"/>
              <w:jc w:val="center"/>
            </w:pPr>
            <w:r w:rsidRPr="00B65403">
              <w:rPr>
                <w:b/>
                <w:bCs/>
                <w:sz w:val="14"/>
                <w:szCs w:val="14"/>
              </w:rPr>
              <w:t>13%</w:t>
            </w:r>
          </w:p>
        </w:tc>
        <w:tc>
          <w:tcPr>
            <w:tcW w:w="748" w:type="dxa"/>
            <w:shd w:val="clear" w:color="auto" w:fill="E6F0F3"/>
            <w:tcMar>
              <w:top w:w="40" w:type="dxa"/>
              <w:left w:w="40" w:type="dxa"/>
              <w:bottom w:w="40" w:type="dxa"/>
              <w:right w:w="40" w:type="dxa"/>
            </w:tcMar>
            <w:vAlign w:val="center"/>
          </w:tcPr>
          <w:p w14:paraId="4B92B1E7" w14:textId="77777777" w:rsidR="00E025A7" w:rsidRPr="00B65403" w:rsidRDefault="00000000">
            <w:pPr>
              <w:spacing w:after="0" w:line="240" w:lineRule="auto"/>
              <w:jc w:val="center"/>
            </w:pPr>
            <w:r w:rsidRPr="00B65403">
              <w:rPr>
                <w:sz w:val="14"/>
                <w:szCs w:val="14"/>
              </w:rPr>
              <w:t xml:space="preserve">901 </w:t>
            </w:r>
            <w:proofErr w:type="spellStart"/>
            <w:r w:rsidRPr="00B65403">
              <w:rPr>
                <w:sz w:val="14"/>
                <w:szCs w:val="14"/>
              </w:rPr>
              <w:t>kW</w:t>
            </w:r>
            <w:proofErr w:type="spellEnd"/>
          </w:p>
          <w:p w14:paraId="55BFCDBF" w14:textId="77777777" w:rsidR="00E025A7" w:rsidRPr="00B65403" w:rsidRDefault="00000000">
            <w:pPr>
              <w:spacing w:after="0" w:line="240" w:lineRule="auto"/>
              <w:jc w:val="center"/>
            </w:pPr>
            <w:r w:rsidRPr="00B65403">
              <w:rPr>
                <w:b/>
                <w:bCs/>
                <w:sz w:val="14"/>
                <w:szCs w:val="14"/>
              </w:rPr>
              <w:t>19%</w:t>
            </w:r>
          </w:p>
        </w:tc>
        <w:tc>
          <w:tcPr>
            <w:tcW w:w="748" w:type="dxa"/>
            <w:shd w:val="clear" w:color="auto" w:fill="D5E6EC"/>
            <w:tcMar>
              <w:top w:w="40" w:type="dxa"/>
              <w:left w:w="40" w:type="dxa"/>
              <w:bottom w:w="40" w:type="dxa"/>
              <w:right w:w="40" w:type="dxa"/>
            </w:tcMar>
            <w:vAlign w:val="center"/>
          </w:tcPr>
          <w:p w14:paraId="3A4508A1" w14:textId="77777777" w:rsidR="00E025A7" w:rsidRPr="00B65403" w:rsidRDefault="00000000">
            <w:pPr>
              <w:spacing w:after="0" w:line="240" w:lineRule="auto"/>
              <w:jc w:val="center"/>
            </w:pPr>
            <w:r w:rsidRPr="00B65403">
              <w:rPr>
                <w:sz w:val="14"/>
                <w:szCs w:val="14"/>
              </w:rPr>
              <w:t xml:space="preserve">567 </w:t>
            </w:r>
            <w:proofErr w:type="spellStart"/>
            <w:r w:rsidRPr="00B65403">
              <w:rPr>
                <w:sz w:val="14"/>
                <w:szCs w:val="14"/>
              </w:rPr>
              <w:t>kW</w:t>
            </w:r>
            <w:proofErr w:type="spellEnd"/>
          </w:p>
          <w:p w14:paraId="0568E614" w14:textId="77777777" w:rsidR="00E025A7" w:rsidRPr="00B65403" w:rsidRDefault="00000000">
            <w:pPr>
              <w:spacing w:after="0" w:line="240" w:lineRule="auto"/>
              <w:jc w:val="center"/>
            </w:pPr>
            <w:r w:rsidRPr="00B65403">
              <w:rPr>
                <w:b/>
                <w:bCs/>
                <w:sz w:val="14"/>
                <w:szCs w:val="14"/>
              </w:rPr>
              <w:t>10%</w:t>
            </w:r>
          </w:p>
        </w:tc>
        <w:tc>
          <w:tcPr>
            <w:tcW w:w="748" w:type="dxa"/>
            <w:shd w:val="clear" w:color="auto" w:fill="D5E6EC"/>
            <w:tcMar>
              <w:top w:w="40" w:type="dxa"/>
              <w:left w:w="40" w:type="dxa"/>
              <w:bottom w:w="40" w:type="dxa"/>
              <w:right w:w="40" w:type="dxa"/>
            </w:tcMar>
            <w:vAlign w:val="center"/>
          </w:tcPr>
          <w:p w14:paraId="244F3BB9" w14:textId="77777777" w:rsidR="00E025A7" w:rsidRPr="00B65403" w:rsidRDefault="00000000">
            <w:pPr>
              <w:spacing w:after="0" w:line="240" w:lineRule="auto"/>
              <w:jc w:val="center"/>
            </w:pPr>
            <w:r w:rsidRPr="00B65403">
              <w:rPr>
                <w:sz w:val="14"/>
                <w:szCs w:val="14"/>
              </w:rPr>
              <w:t xml:space="preserve">1.135 </w:t>
            </w:r>
            <w:proofErr w:type="spellStart"/>
            <w:r w:rsidRPr="00B65403">
              <w:rPr>
                <w:sz w:val="14"/>
                <w:szCs w:val="14"/>
              </w:rPr>
              <w:t>kW</w:t>
            </w:r>
            <w:proofErr w:type="spellEnd"/>
          </w:p>
          <w:p w14:paraId="0EB2F35D" w14:textId="77777777" w:rsidR="00E025A7" w:rsidRPr="00B65403" w:rsidRDefault="00000000">
            <w:pPr>
              <w:spacing w:after="0" w:line="240" w:lineRule="auto"/>
              <w:jc w:val="center"/>
            </w:pPr>
            <w:r w:rsidRPr="00B65403">
              <w:rPr>
                <w:b/>
                <w:bCs/>
                <w:sz w:val="14"/>
                <w:szCs w:val="14"/>
              </w:rPr>
              <w:t>21%</w:t>
            </w:r>
          </w:p>
        </w:tc>
        <w:tc>
          <w:tcPr>
            <w:tcW w:w="748" w:type="dxa"/>
            <w:shd w:val="clear" w:color="auto" w:fill="D5E6EC"/>
            <w:tcMar>
              <w:top w:w="40" w:type="dxa"/>
              <w:left w:w="40" w:type="dxa"/>
              <w:bottom w:w="40" w:type="dxa"/>
              <w:right w:w="40" w:type="dxa"/>
            </w:tcMar>
            <w:vAlign w:val="center"/>
          </w:tcPr>
          <w:p w14:paraId="022EF162" w14:textId="77777777" w:rsidR="00E025A7" w:rsidRPr="00B65403" w:rsidRDefault="00000000">
            <w:pPr>
              <w:spacing w:after="0" w:line="240" w:lineRule="auto"/>
              <w:jc w:val="center"/>
            </w:pPr>
            <w:r w:rsidRPr="00B65403">
              <w:rPr>
                <w:sz w:val="14"/>
                <w:szCs w:val="14"/>
              </w:rPr>
              <w:t xml:space="preserve">1.702 </w:t>
            </w:r>
            <w:proofErr w:type="spellStart"/>
            <w:r w:rsidRPr="00B65403">
              <w:rPr>
                <w:sz w:val="14"/>
                <w:szCs w:val="14"/>
              </w:rPr>
              <w:t>kW</w:t>
            </w:r>
            <w:proofErr w:type="spellEnd"/>
          </w:p>
          <w:p w14:paraId="5DEEF1B9" w14:textId="77777777" w:rsidR="00E025A7" w:rsidRPr="00B65403" w:rsidRDefault="00000000">
            <w:pPr>
              <w:spacing w:after="0" w:line="240" w:lineRule="auto"/>
              <w:jc w:val="center"/>
            </w:pPr>
            <w:r w:rsidRPr="00B65403">
              <w:rPr>
                <w:b/>
                <w:bCs/>
                <w:sz w:val="14"/>
                <w:szCs w:val="14"/>
              </w:rPr>
              <w:t>31%</w:t>
            </w:r>
          </w:p>
        </w:tc>
      </w:tr>
      <w:tr w:rsidR="00E025A7" w14:paraId="125B812F" w14:textId="77777777">
        <w:trPr>
          <w:cantSplit/>
          <w:jc w:val="center"/>
        </w:trPr>
        <w:tc>
          <w:tcPr>
            <w:tcW w:w="1000" w:type="dxa"/>
            <w:vMerge/>
            <w:shd w:val="clear" w:color="auto" w:fill="EFEFEF"/>
            <w:tcMar>
              <w:top w:w="40" w:type="dxa"/>
              <w:left w:w="40" w:type="dxa"/>
              <w:bottom w:w="40" w:type="dxa"/>
              <w:right w:w="40" w:type="dxa"/>
            </w:tcMar>
            <w:vAlign w:val="center"/>
          </w:tcPr>
          <w:p w14:paraId="7AA7012C" w14:textId="77777777" w:rsidR="00E025A7" w:rsidRPr="00B65403" w:rsidRDefault="00E025A7">
            <w:pPr>
              <w:spacing w:after="0" w:line="240" w:lineRule="auto"/>
              <w:jc w:val="center"/>
            </w:pPr>
          </w:p>
        </w:tc>
        <w:tc>
          <w:tcPr>
            <w:tcW w:w="900" w:type="dxa"/>
            <w:shd w:val="clear" w:color="auto" w:fill="EFEFEF"/>
            <w:tcMar>
              <w:top w:w="40" w:type="dxa"/>
              <w:left w:w="40" w:type="dxa"/>
              <w:bottom w:w="40" w:type="dxa"/>
              <w:right w:w="40" w:type="dxa"/>
            </w:tcMar>
            <w:vAlign w:val="center"/>
          </w:tcPr>
          <w:p w14:paraId="73E4E8BF" w14:textId="77777777" w:rsidR="00E025A7" w:rsidRPr="00B65403" w:rsidRDefault="00000000">
            <w:pPr>
              <w:spacing w:after="0" w:line="240" w:lineRule="auto"/>
              <w:jc w:val="center"/>
            </w:pPr>
            <w:proofErr w:type="spellStart"/>
            <w:r w:rsidRPr="00B65403">
              <w:rPr>
                <w:b/>
                <w:bCs/>
                <w:sz w:val="14"/>
                <w:szCs w:val="14"/>
              </w:rPr>
              <w:t>Capesize</w:t>
            </w:r>
            <w:proofErr w:type="spellEnd"/>
          </w:p>
        </w:tc>
        <w:tc>
          <w:tcPr>
            <w:tcW w:w="748" w:type="dxa"/>
            <w:shd w:val="clear" w:color="auto" w:fill="F7EFE4"/>
            <w:tcMar>
              <w:top w:w="40" w:type="dxa"/>
              <w:left w:w="40" w:type="dxa"/>
              <w:bottom w:w="40" w:type="dxa"/>
              <w:right w:w="40" w:type="dxa"/>
            </w:tcMar>
            <w:vAlign w:val="center"/>
          </w:tcPr>
          <w:p w14:paraId="2FC1D9A7" w14:textId="77777777" w:rsidR="00E025A7" w:rsidRPr="00B65403" w:rsidRDefault="00000000">
            <w:pPr>
              <w:spacing w:after="0" w:line="240" w:lineRule="auto"/>
              <w:jc w:val="center"/>
            </w:pPr>
            <w:r w:rsidRPr="00B65403">
              <w:rPr>
                <w:sz w:val="14"/>
                <w:szCs w:val="14"/>
              </w:rPr>
              <w:t xml:space="preserve">111 </w:t>
            </w:r>
            <w:proofErr w:type="spellStart"/>
            <w:r w:rsidRPr="00B65403">
              <w:rPr>
                <w:sz w:val="14"/>
                <w:szCs w:val="14"/>
              </w:rPr>
              <w:t>kW</w:t>
            </w:r>
            <w:proofErr w:type="spellEnd"/>
          </w:p>
          <w:p w14:paraId="3AC7B5A8" w14:textId="77777777" w:rsidR="00E025A7" w:rsidRPr="00B65403" w:rsidRDefault="00000000">
            <w:pPr>
              <w:spacing w:after="0" w:line="240" w:lineRule="auto"/>
              <w:jc w:val="center"/>
            </w:pPr>
            <w:r w:rsidRPr="00B65403">
              <w:rPr>
                <w:b/>
                <w:bCs/>
                <w:sz w:val="14"/>
                <w:szCs w:val="14"/>
              </w:rPr>
              <w:t>2%</w:t>
            </w:r>
          </w:p>
        </w:tc>
        <w:tc>
          <w:tcPr>
            <w:tcW w:w="748" w:type="dxa"/>
            <w:shd w:val="clear" w:color="auto" w:fill="F7EFE4"/>
            <w:tcMar>
              <w:top w:w="40" w:type="dxa"/>
              <w:left w:w="40" w:type="dxa"/>
              <w:bottom w:w="40" w:type="dxa"/>
              <w:right w:w="40" w:type="dxa"/>
            </w:tcMar>
            <w:vAlign w:val="center"/>
          </w:tcPr>
          <w:p w14:paraId="1A90CDA4" w14:textId="77777777" w:rsidR="00E025A7" w:rsidRPr="00B65403" w:rsidRDefault="00000000">
            <w:pPr>
              <w:spacing w:after="0" w:line="240" w:lineRule="auto"/>
              <w:jc w:val="center"/>
            </w:pPr>
            <w:r w:rsidRPr="00B65403">
              <w:rPr>
                <w:sz w:val="14"/>
                <w:szCs w:val="14"/>
              </w:rPr>
              <w:t xml:space="preserve">221 </w:t>
            </w:r>
            <w:proofErr w:type="spellStart"/>
            <w:r w:rsidRPr="00B65403">
              <w:rPr>
                <w:sz w:val="14"/>
                <w:szCs w:val="14"/>
              </w:rPr>
              <w:t>kW</w:t>
            </w:r>
            <w:proofErr w:type="spellEnd"/>
          </w:p>
          <w:p w14:paraId="402DDDBA" w14:textId="77777777" w:rsidR="00E025A7" w:rsidRPr="00B65403" w:rsidRDefault="00000000">
            <w:pPr>
              <w:spacing w:after="0" w:line="240" w:lineRule="auto"/>
              <w:jc w:val="center"/>
            </w:pPr>
            <w:r w:rsidRPr="00B65403">
              <w:rPr>
                <w:b/>
                <w:bCs/>
                <w:sz w:val="14"/>
                <w:szCs w:val="14"/>
              </w:rPr>
              <w:t>3%</w:t>
            </w:r>
          </w:p>
        </w:tc>
        <w:tc>
          <w:tcPr>
            <w:tcW w:w="748" w:type="dxa"/>
            <w:shd w:val="clear" w:color="auto" w:fill="F7EFE4"/>
            <w:tcMar>
              <w:top w:w="40" w:type="dxa"/>
              <w:left w:w="40" w:type="dxa"/>
              <w:bottom w:w="40" w:type="dxa"/>
              <w:right w:w="40" w:type="dxa"/>
            </w:tcMar>
            <w:vAlign w:val="center"/>
          </w:tcPr>
          <w:p w14:paraId="3A9FF78C" w14:textId="77777777" w:rsidR="00E025A7" w:rsidRPr="00B65403" w:rsidRDefault="00000000">
            <w:pPr>
              <w:spacing w:after="0" w:line="240" w:lineRule="auto"/>
              <w:jc w:val="center"/>
            </w:pPr>
            <w:r w:rsidRPr="00B65403">
              <w:rPr>
                <w:sz w:val="14"/>
                <w:szCs w:val="14"/>
              </w:rPr>
              <w:t xml:space="preserve">332 </w:t>
            </w:r>
            <w:proofErr w:type="spellStart"/>
            <w:r w:rsidRPr="00B65403">
              <w:rPr>
                <w:sz w:val="14"/>
                <w:szCs w:val="14"/>
              </w:rPr>
              <w:t>kW</w:t>
            </w:r>
            <w:proofErr w:type="spellEnd"/>
          </w:p>
          <w:p w14:paraId="25E87A92" w14:textId="77777777" w:rsidR="00E025A7" w:rsidRPr="00B65403" w:rsidRDefault="00000000">
            <w:pPr>
              <w:spacing w:after="0" w:line="240" w:lineRule="auto"/>
              <w:jc w:val="center"/>
            </w:pPr>
            <w:r w:rsidRPr="00B65403">
              <w:rPr>
                <w:b/>
                <w:bCs/>
                <w:sz w:val="14"/>
                <w:szCs w:val="14"/>
              </w:rPr>
              <w:t>5%</w:t>
            </w:r>
          </w:p>
        </w:tc>
        <w:tc>
          <w:tcPr>
            <w:tcW w:w="748" w:type="dxa"/>
            <w:shd w:val="clear" w:color="auto" w:fill="E6F0F3"/>
            <w:tcMar>
              <w:top w:w="40" w:type="dxa"/>
              <w:left w:w="40" w:type="dxa"/>
              <w:bottom w:w="40" w:type="dxa"/>
              <w:right w:w="40" w:type="dxa"/>
            </w:tcMar>
            <w:vAlign w:val="center"/>
          </w:tcPr>
          <w:p w14:paraId="62B2FC2B" w14:textId="77777777" w:rsidR="00E025A7" w:rsidRPr="00B65403" w:rsidRDefault="00000000">
            <w:pPr>
              <w:spacing w:after="0" w:line="240" w:lineRule="auto"/>
              <w:jc w:val="center"/>
            </w:pPr>
            <w:r w:rsidRPr="00B65403">
              <w:rPr>
                <w:sz w:val="14"/>
                <w:szCs w:val="14"/>
              </w:rPr>
              <w:t xml:space="preserve">308 </w:t>
            </w:r>
            <w:proofErr w:type="spellStart"/>
            <w:r w:rsidRPr="00B65403">
              <w:rPr>
                <w:sz w:val="14"/>
                <w:szCs w:val="14"/>
              </w:rPr>
              <w:t>kW</w:t>
            </w:r>
            <w:proofErr w:type="spellEnd"/>
          </w:p>
          <w:p w14:paraId="0780E241" w14:textId="77777777" w:rsidR="00E025A7" w:rsidRPr="00B65403" w:rsidRDefault="00000000">
            <w:pPr>
              <w:spacing w:after="0" w:line="240" w:lineRule="auto"/>
              <w:jc w:val="center"/>
            </w:pPr>
            <w:r w:rsidRPr="00B65403">
              <w:rPr>
                <w:b/>
                <w:bCs/>
                <w:sz w:val="14"/>
                <w:szCs w:val="14"/>
              </w:rPr>
              <w:t>4%</w:t>
            </w:r>
          </w:p>
        </w:tc>
        <w:tc>
          <w:tcPr>
            <w:tcW w:w="748" w:type="dxa"/>
            <w:shd w:val="clear" w:color="auto" w:fill="E6F0F3"/>
            <w:tcMar>
              <w:top w:w="40" w:type="dxa"/>
              <w:left w:w="40" w:type="dxa"/>
              <w:bottom w:w="40" w:type="dxa"/>
              <w:right w:w="40" w:type="dxa"/>
            </w:tcMar>
            <w:vAlign w:val="center"/>
          </w:tcPr>
          <w:p w14:paraId="767488EA" w14:textId="77777777" w:rsidR="00E025A7" w:rsidRPr="00B65403" w:rsidRDefault="00000000">
            <w:pPr>
              <w:spacing w:after="0" w:line="240" w:lineRule="auto"/>
              <w:jc w:val="center"/>
            </w:pPr>
            <w:r w:rsidRPr="00B65403">
              <w:rPr>
                <w:sz w:val="14"/>
                <w:szCs w:val="14"/>
              </w:rPr>
              <w:t xml:space="preserve">616 </w:t>
            </w:r>
            <w:proofErr w:type="spellStart"/>
            <w:r w:rsidRPr="00B65403">
              <w:rPr>
                <w:sz w:val="14"/>
                <w:szCs w:val="14"/>
              </w:rPr>
              <w:t>kW</w:t>
            </w:r>
            <w:proofErr w:type="spellEnd"/>
          </w:p>
          <w:p w14:paraId="6FB566C6" w14:textId="77777777" w:rsidR="00E025A7" w:rsidRPr="00B65403" w:rsidRDefault="00000000">
            <w:pPr>
              <w:spacing w:after="0" w:line="240" w:lineRule="auto"/>
              <w:jc w:val="center"/>
            </w:pPr>
            <w:r w:rsidRPr="00B65403">
              <w:rPr>
                <w:b/>
                <w:bCs/>
                <w:sz w:val="14"/>
                <w:szCs w:val="14"/>
              </w:rPr>
              <w:t>8%</w:t>
            </w:r>
          </w:p>
        </w:tc>
        <w:tc>
          <w:tcPr>
            <w:tcW w:w="748" w:type="dxa"/>
            <w:shd w:val="clear" w:color="auto" w:fill="E6F0F3"/>
            <w:tcMar>
              <w:top w:w="40" w:type="dxa"/>
              <w:left w:w="40" w:type="dxa"/>
              <w:bottom w:w="40" w:type="dxa"/>
              <w:right w:w="40" w:type="dxa"/>
            </w:tcMar>
            <w:vAlign w:val="center"/>
          </w:tcPr>
          <w:p w14:paraId="1D34BE2E" w14:textId="77777777" w:rsidR="00E025A7" w:rsidRPr="00B65403" w:rsidRDefault="00000000">
            <w:pPr>
              <w:spacing w:after="0" w:line="240" w:lineRule="auto"/>
              <w:jc w:val="center"/>
            </w:pPr>
            <w:r w:rsidRPr="00B65403">
              <w:rPr>
                <w:sz w:val="14"/>
                <w:szCs w:val="14"/>
              </w:rPr>
              <w:t xml:space="preserve">924 </w:t>
            </w:r>
            <w:proofErr w:type="spellStart"/>
            <w:r w:rsidRPr="00B65403">
              <w:rPr>
                <w:sz w:val="14"/>
                <w:szCs w:val="14"/>
              </w:rPr>
              <w:t>kW</w:t>
            </w:r>
            <w:proofErr w:type="spellEnd"/>
          </w:p>
          <w:p w14:paraId="0B70B51E" w14:textId="77777777" w:rsidR="00E025A7" w:rsidRPr="00B65403" w:rsidRDefault="00000000">
            <w:pPr>
              <w:spacing w:after="0" w:line="240" w:lineRule="auto"/>
              <w:jc w:val="center"/>
            </w:pPr>
            <w:r w:rsidRPr="00B65403">
              <w:rPr>
                <w:b/>
                <w:bCs/>
                <w:sz w:val="14"/>
                <w:szCs w:val="14"/>
              </w:rPr>
              <w:t>13%</w:t>
            </w:r>
          </w:p>
        </w:tc>
        <w:tc>
          <w:tcPr>
            <w:tcW w:w="748" w:type="dxa"/>
            <w:shd w:val="clear" w:color="auto" w:fill="D5E6EC"/>
            <w:tcMar>
              <w:top w:w="40" w:type="dxa"/>
              <w:left w:w="40" w:type="dxa"/>
              <w:bottom w:w="40" w:type="dxa"/>
              <w:right w:w="40" w:type="dxa"/>
            </w:tcMar>
            <w:vAlign w:val="center"/>
          </w:tcPr>
          <w:p w14:paraId="7DE10188" w14:textId="77777777" w:rsidR="00E025A7" w:rsidRPr="00B65403" w:rsidRDefault="00000000">
            <w:pPr>
              <w:spacing w:after="0" w:line="240" w:lineRule="auto"/>
              <w:jc w:val="center"/>
            </w:pPr>
            <w:r w:rsidRPr="00B65403">
              <w:rPr>
                <w:sz w:val="14"/>
                <w:szCs w:val="14"/>
              </w:rPr>
              <w:t xml:space="preserve">581 </w:t>
            </w:r>
            <w:proofErr w:type="spellStart"/>
            <w:r w:rsidRPr="00B65403">
              <w:rPr>
                <w:sz w:val="14"/>
                <w:szCs w:val="14"/>
              </w:rPr>
              <w:t>kW</w:t>
            </w:r>
            <w:proofErr w:type="spellEnd"/>
          </w:p>
          <w:p w14:paraId="3C04C31B" w14:textId="77777777" w:rsidR="00E025A7" w:rsidRPr="00B65403" w:rsidRDefault="00000000">
            <w:pPr>
              <w:spacing w:after="0" w:line="240" w:lineRule="auto"/>
              <w:jc w:val="center"/>
            </w:pPr>
            <w:r w:rsidRPr="00B65403">
              <w:rPr>
                <w:b/>
                <w:bCs/>
                <w:sz w:val="14"/>
                <w:szCs w:val="14"/>
              </w:rPr>
              <w:t>7%</w:t>
            </w:r>
          </w:p>
        </w:tc>
        <w:tc>
          <w:tcPr>
            <w:tcW w:w="748" w:type="dxa"/>
            <w:shd w:val="clear" w:color="auto" w:fill="D5E6EC"/>
            <w:tcMar>
              <w:top w:w="40" w:type="dxa"/>
              <w:left w:w="40" w:type="dxa"/>
              <w:bottom w:w="40" w:type="dxa"/>
              <w:right w:w="40" w:type="dxa"/>
            </w:tcMar>
            <w:vAlign w:val="center"/>
          </w:tcPr>
          <w:p w14:paraId="1DBDB0A9" w14:textId="77777777" w:rsidR="00E025A7" w:rsidRPr="00B65403" w:rsidRDefault="00000000">
            <w:pPr>
              <w:spacing w:after="0" w:line="240" w:lineRule="auto"/>
              <w:jc w:val="center"/>
            </w:pPr>
            <w:r w:rsidRPr="00B65403">
              <w:rPr>
                <w:sz w:val="14"/>
                <w:szCs w:val="14"/>
              </w:rPr>
              <w:t xml:space="preserve">1.162 </w:t>
            </w:r>
            <w:proofErr w:type="spellStart"/>
            <w:r w:rsidRPr="00B65403">
              <w:rPr>
                <w:sz w:val="14"/>
                <w:szCs w:val="14"/>
              </w:rPr>
              <w:t>kW</w:t>
            </w:r>
            <w:proofErr w:type="spellEnd"/>
          </w:p>
          <w:p w14:paraId="112F12AC" w14:textId="77777777" w:rsidR="00E025A7" w:rsidRPr="00B65403" w:rsidRDefault="00000000">
            <w:pPr>
              <w:spacing w:after="0" w:line="240" w:lineRule="auto"/>
              <w:jc w:val="center"/>
            </w:pPr>
            <w:r w:rsidRPr="00B65403">
              <w:rPr>
                <w:b/>
                <w:bCs/>
                <w:sz w:val="14"/>
                <w:szCs w:val="14"/>
              </w:rPr>
              <w:t>14%</w:t>
            </w:r>
          </w:p>
        </w:tc>
        <w:tc>
          <w:tcPr>
            <w:tcW w:w="748" w:type="dxa"/>
            <w:shd w:val="clear" w:color="auto" w:fill="D5E6EC"/>
            <w:tcMar>
              <w:top w:w="40" w:type="dxa"/>
              <w:left w:w="40" w:type="dxa"/>
              <w:bottom w:w="40" w:type="dxa"/>
              <w:right w:w="40" w:type="dxa"/>
            </w:tcMar>
            <w:vAlign w:val="center"/>
          </w:tcPr>
          <w:p w14:paraId="55EC0AB4" w14:textId="77777777" w:rsidR="00E025A7" w:rsidRPr="00B65403" w:rsidRDefault="00000000">
            <w:pPr>
              <w:spacing w:after="0" w:line="240" w:lineRule="auto"/>
              <w:jc w:val="center"/>
            </w:pPr>
            <w:r w:rsidRPr="00B65403">
              <w:rPr>
                <w:sz w:val="14"/>
                <w:szCs w:val="14"/>
              </w:rPr>
              <w:t xml:space="preserve">1.743 </w:t>
            </w:r>
            <w:proofErr w:type="spellStart"/>
            <w:r w:rsidRPr="00B65403">
              <w:rPr>
                <w:sz w:val="14"/>
                <w:szCs w:val="14"/>
              </w:rPr>
              <w:t>kW</w:t>
            </w:r>
            <w:proofErr w:type="spellEnd"/>
          </w:p>
          <w:p w14:paraId="5B637A66" w14:textId="77777777" w:rsidR="00E025A7" w:rsidRPr="00B65403" w:rsidRDefault="00000000">
            <w:pPr>
              <w:spacing w:after="0" w:line="240" w:lineRule="auto"/>
              <w:jc w:val="center"/>
            </w:pPr>
            <w:r w:rsidRPr="00B65403">
              <w:rPr>
                <w:b/>
                <w:bCs/>
                <w:sz w:val="14"/>
                <w:szCs w:val="14"/>
              </w:rPr>
              <w:t>21%</w:t>
            </w:r>
          </w:p>
        </w:tc>
      </w:tr>
      <w:tr w:rsidR="00E025A7" w14:paraId="1AA0744D" w14:textId="77777777">
        <w:trPr>
          <w:cantSplit/>
          <w:jc w:val="center"/>
        </w:trPr>
        <w:tc>
          <w:tcPr>
            <w:tcW w:w="1000" w:type="dxa"/>
            <w:vMerge w:val="restart"/>
            <w:shd w:val="clear" w:color="auto" w:fill="EFEFEF"/>
            <w:tcMar>
              <w:top w:w="40" w:type="dxa"/>
              <w:left w:w="40" w:type="dxa"/>
              <w:bottom w:w="40" w:type="dxa"/>
              <w:right w:w="40" w:type="dxa"/>
            </w:tcMar>
            <w:vAlign w:val="center"/>
          </w:tcPr>
          <w:p w14:paraId="5B77B1A7" w14:textId="77777777" w:rsidR="00E025A7" w:rsidRPr="00B65403" w:rsidRDefault="00000000">
            <w:pPr>
              <w:spacing w:after="0" w:line="240" w:lineRule="auto"/>
              <w:jc w:val="center"/>
            </w:pPr>
            <w:r w:rsidRPr="00B65403">
              <w:rPr>
                <w:b/>
                <w:bCs/>
                <w:sz w:val="14"/>
                <w:szCs w:val="14"/>
              </w:rPr>
              <w:t>Δεξαμενόπλοια</w:t>
            </w:r>
          </w:p>
        </w:tc>
        <w:tc>
          <w:tcPr>
            <w:tcW w:w="900" w:type="dxa"/>
            <w:shd w:val="clear" w:color="auto" w:fill="EFEFEF"/>
            <w:tcMar>
              <w:top w:w="40" w:type="dxa"/>
              <w:left w:w="40" w:type="dxa"/>
              <w:bottom w:w="40" w:type="dxa"/>
              <w:right w:w="40" w:type="dxa"/>
            </w:tcMar>
            <w:vAlign w:val="center"/>
          </w:tcPr>
          <w:p w14:paraId="19E73BBF" w14:textId="77777777" w:rsidR="00E025A7" w:rsidRPr="00B65403" w:rsidRDefault="00000000">
            <w:pPr>
              <w:spacing w:after="0" w:line="240" w:lineRule="auto"/>
              <w:jc w:val="center"/>
            </w:pPr>
            <w:r w:rsidRPr="00B65403">
              <w:rPr>
                <w:b/>
                <w:bCs/>
                <w:sz w:val="14"/>
                <w:szCs w:val="14"/>
              </w:rPr>
              <w:t>MR</w:t>
            </w:r>
          </w:p>
        </w:tc>
        <w:tc>
          <w:tcPr>
            <w:tcW w:w="748" w:type="dxa"/>
            <w:shd w:val="clear" w:color="auto" w:fill="F7EFE4"/>
            <w:tcMar>
              <w:top w:w="40" w:type="dxa"/>
              <w:left w:w="40" w:type="dxa"/>
              <w:bottom w:w="40" w:type="dxa"/>
              <w:right w:w="40" w:type="dxa"/>
            </w:tcMar>
            <w:vAlign w:val="center"/>
          </w:tcPr>
          <w:p w14:paraId="56EBCD53" w14:textId="77777777" w:rsidR="00E025A7" w:rsidRPr="00B65403" w:rsidRDefault="00000000">
            <w:pPr>
              <w:spacing w:after="0" w:line="240" w:lineRule="auto"/>
              <w:jc w:val="center"/>
            </w:pPr>
            <w:r w:rsidRPr="00B65403">
              <w:rPr>
                <w:sz w:val="14"/>
                <w:szCs w:val="14"/>
              </w:rPr>
              <w:t xml:space="preserve">106 </w:t>
            </w:r>
            <w:proofErr w:type="spellStart"/>
            <w:r w:rsidRPr="00B65403">
              <w:rPr>
                <w:sz w:val="14"/>
                <w:szCs w:val="14"/>
              </w:rPr>
              <w:t>kW</w:t>
            </w:r>
            <w:proofErr w:type="spellEnd"/>
          </w:p>
          <w:p w14:paraId="2F30D92C" w14:textId="77777777" w:rsidR="00E025A7" w:rsidRPr="00B65403" w:rsidRDefault="00000000">
            <w:pPr>
              <w:spacing w:after="0" w:line="240" w:lineRule="auto"/>
              <w:jc w:val="center"/>
            </w:pPr>
            <w:r w:rsidRPr="00B65403">
              <w:rPr>
                <w:b/>
                <w:bCs/>
                <w:sz w:val="14"/>
                <w:szCs w:val="14"/>
              </w:rPr>
              <w:t>3%</w:t>
            </w:r>
          </w:p>
        </w:tc>
        <w:tc>
          <w:tcPr>
            <w:tcW w:w="748" w:type="dxa"/>
            <w:shd w:val="clear" w:color="auto" w:fill="F7EFE4"/>
            <w:tcMar>
              <w:top w:w="40" w:type="dxa"/>
              <w:left w:w="40" w:type="dxa"/>
              <w:bottom w:w="40" w:type="dxa"/>
              <w:right w:w="40" w:type="dxa"/>
            </w:tcMar>
            <w:vAlign w:val="center"/>
          </w:tcPr>
          <w:p w14:paraId="000835AB" w14:textId="77777777" w:rsidR="00E025A7" w:rsidRPr="00B65403" w:rsidRDefault="00000000">
            <w:pPr>
              <w:spacing w:after="0" w:line="240" w:lineRule="auto"/>
              <w:jc w:val="center"/>
            </w:pPr>
            <w:r w:rsidRPr="00B65403">
              <w:rPr>
                <w:sz w:val="14"/>
                <w:szCs w:val="14"/>
              </w:rPr>
              <w:t xml:space="preserve">211 </w:t>
            </w:r>
            <w:proofErr w:type="spellStart"/>
            <w:r w:rsidRPr="00B65403">
              <w:rPr>
                <w:sz w:val="14"/>
                <w:szCs w:val="14"/>
              </w:rPr>
              <w:t>kW</w:t>
            </w:r>
            <w:proofErr w:type="spellEnd"/>
          </w:p>
          <w:p w14:paraId="55FF9BF0" w14:textId="77777777" w:rsidR="00E025A7" w:rsidRPr="00B65403" w:rsidRDefault="00000000">
            <w:pPr>
              <w:spacing w:after="0" w:line="240" w:lineRule="auto"/>
              <w:jc w:val="center"/>
            </w:pPr>
            <w:r w:rsidRPr="00B65403">
              <w:rPr>
                <w:b/>
                <w:bCs/>
                <w:sz w:val="14"/>
                <w:szCs w:val="14"/>
              </w:rPr>
              <w:t>6%</w:t>
            </w:r>
          </w:p>
        </w:tc>
        <w:tc>
          <w:tcPr>
            <w:tcW w:w="748" w:type="dxa"/>
            <w:shd w:val="clear" w:color="auto" w:fill="F7EFE4"/>
            <w:tcMar>
              <w:top w:w="40" w:type="dxa"/>
              <w:left w:w="40" w:type="dxa"/>
              <w:bottom w:w="40" w:type="dxa"/>
              <w:right w:w="40" w:type="dxa"/>
            </w:tcMar>
            <w:vAlign w:val="center"/>
          </w:tcPr>
          <w:p w14:paraId="4A0E3695" w14:textId="77777777" w:rsidR="00E025A7" w:rsidRPr="00B65403" w:rsidRDefault="00000000">
            <w:pPr>
              <w:spacing w:after="0" w:line="240" w:lineRule="auto"/>
              <w:jc w:val="center"/>
            </w:pPr>
            <w:r w:rsidRPr="00B65403">
              <w:rPr>
                <w:sz w:val="14"/>
                <w:szCs w:val="14"/>
              </w:rPr>
              <w:t xml:space="preserve">317 </w:t>
            </w:r>
            <w:proofErr w:type="spellStart"/>
            <w:r w:rsidRPr="00B65403">
              <w:rPr>
                <w:sz w:val="14"/>
                <w:szCs w:val="14"/>
              </w:rPr>
              <w:t>kW</w:t>
            </w:r>
            <w:proofErr w:type="spellEnd"/>
          </w:p>
          <w:p w14:paraId="1E50C4ED" w14:textId="77777777" w:rsidR="00E025A7" w:rsidRPr="00B65403" w:rsidRDefault="00000000">
            <w:pPr>
              <w:spacing w:after="0" w:line="240" w:lineRule="auto"/>
              <w:jc w:val="center"/>
            </w:pPr>
            <w:r w:rsidRPr="00B65403">
              <w:rPr>
                <w:b/>
                <w:bCs/>
                <w:sz w:val="14"/>
                <w:szCs w:val="14"/>
              </w:rPr>
              <w:t>9%</w:t>
            </w:r>
          </w:p>
        </w:tc>
        <w:tc>
          <w:tcPr>
            <w:tcW w:w="748" w:type="dxa"/>
            <w:shd w:val="clear" w:color="auto" w:fill="E6F0F3"/>
            <w:tcMar>
              <w:top w:w="40" w:type="dxa"/>
              <w:left w:w="40" w:type="dxa"/>
              <w:bottom w:w="40" w:type="dxa"/>
              <w:right w:w="40" w:type="dxa"/>
            </w:tcMar>
            <w:vAlign w:val="center"/>
          </w:tcPr>
          <w:p w14:paraId="1B9F86ED" w14:textId="77777777" w:rsidR="00E025A7" w:rsidRPr="00B65403" w:rsidRDefault="00000000">
            <w:pPr>
              <w:spacing w:after="0" w:line="240" w:lineRule="auto"/>
              <w:jc w:val="center"/>
            </w:pPr>
            <w:r w:rsidRPr="00B65403">
              <w:rPr>
                <w:sz w:val="14"/>
                <w:szCs w:val="14"/>
              </w:rPr>
              <w:t xml:space="preserve">295 </w:t>
            </w:r>
            <w:proofErr w:type="spellStart"/>
            <w:r w:rsidRPr="00B65403">
              <w:rPr>
                <w:sz w:val="14"/>
                <w:szCs w:val="14"/>
              </w:rPr>
              <w:t>kW</w:t>
            </w:r>
            <w:proofErr w:type="spellEnd"/>
          </w:p>
          <w:p w14:paraId="5207E8DF" w14:textId="77777777" w:rsidR="00E025A7" w:rsidRPr="00B65403" w:rsidRDefault="00000000">
            <w:pPr>
              <w:spacing w:after="0" w:line="240" w:lineRule="auto"/>
              <w:jc w:val="center"/>
            </w:pPr>
            <w:r w:rsidRPr="00B65403">
              <w:rPr>
                <w:b/>
                <w:bCs/>
                <w:sz w:val="14"/>
                <w:szCs w:val="14"/>
              </w:rPr>
              <w:t>8%</w:t>
            </w:r>
          </w:p>
        </w:tc>
        <w:tc>
          <w:tcPr>
            <w:tcW w:w="748" w:type="dxa"/>
            <w:shd w:val="clear" w:color="auto" w:fill="E6F0F3"/>
            <w:tcMar>
              <w:top w:w="40" w:type="dxa"/>
              <w:left w:w="40" w:type="dxa"/>
              <w:bottom w:w="40" w:type="dxa"/>
              <w:right w:w="40" w:type="dxa"/>
            </w:tcMar>
            <w:vAlign w:val="center"/>
          </w:tcPr>
          <w:p w14:paraId="147D8463" w14:textId="77777777" w:rsidR="00E025A7" w:rsidRPr="00B65403" w:rsidRDefault="00000000">
            <w:pPr>
              <w:spacing w:after="0" w:line="240" w:lineRule="auto"/>
              <w:jc w:val="center"/>
            </w:pPr>
            <w:r w:rsidRPr="00B65403">
              <w:rPr>
                <w:sz w:val="14"/>
                <w:szCs w:val="14"/>
              </w:rPr>
              <w:t xml:space="preserve">590 </w:t>
            </w:r>
            <w:proofErr w:type="spellStart"/>
            <w:r w:rsidRPr="00B65403">
              <w:rPr>
                <w:sz w:val="14"/>
                <w:szCs w:val="14"/>
              </w:rPr>
              <w:t>kW</w:t>
            </w:r>
            <w:proofErr w:type="spellEnd"/>
          </w:p>
          <w:p w14:paraId="2E4C877B" w14:textId="77777777" w:rsidR="00E025A7" w:rsidRPr="00B65403" w:rsidRDefault="00000000">
            <w:pPr>
              <w:spacing w:after="0" w:line="240" w:lineRule="auto"/>
              <w:jc w:val="center"/>
            </w:pPr>
            <w:r w:rsidRPr="00B65403">
              <w:rPr>
                <w:b/>
                <w:bCs/>
                <w:sz w:val="14"/>
                <w:szCs w:val="14"/>
              </w:rPr>
              <w:t>16%</w:t>
            </w:r>
          </w:p>
        </w:tc>
        <w:tc>
          <w:tcPr>
            <w:tcW w:w="748" w:type="dxa"/>
            <w:shd w:val="clear" w:color="auto" w:fill="E6F0F3"/>
            <w:tcMar>
              <w:top w:w="40" w:type="dxa"/>
              <w:left w:w="40" w:type="dxa"/>
              <w:bottom w:w="40" w:type="dxa"/>
              <w:right w:w="40" w:type="dxa"/>
            </w:tcMar>
            <w:vAlign w:val="center"/>
          </w:tcPr>
          <w:p w14:paraId="48F65865" w14:textId="77777777" w:rsidR="00E025A7" w:rsidRPr="00B65403" w:rsidRDefault="00000000">
            <w:pPr>
              <w:spacing w:after="0" w:line="240" w:lineRule="auto"/>
              <w:jc w:val="center"/>
            </w:pPr>
            <w:r w:rsidRPr="00B65403">
              <w:rPr>
                <w:sz w:val="14"/>
                <w:szCs w:val="14"/>
              </w:rPr>
              <w:t xml:space="preserve">885 </w:t>
            </w:r>
            <w:proofErr w:type="spellStart"/>
            <w:r w:rsidRPr="00B65403">
              <w:rPr>
                <w:sz w:val="14"/>
                <w:szCs w:val="14"/>
              </w:rPr>
              <w:t>kW</w:t>
            </w:r>
            <w:proofErr w:type="spellEnd"/>
          </w:p>
          <w:p w14:paraId="2DA9E4F2" w14:textId="77777777" w:rsidR="00E025A7" w:rsidRPr="00B65403" w:rsidRDefault="00000000">
            <w:pPr>
              <w:spacing w:after="0" w:line="240" w:lineRule="auto"/>
              <w:jc w:val="center"/>
            </w:pPr>
            <w:r w:rsidRPr="00B65403">
              <w:rPr>
                <w:b/>
                <w:bCs/>
                <w:sz w:val="14"/>
                <w:szCs w:val="14"/>
              </w:rPr>
              <w:t>23%</w:t>
            </w:r>
          </w:p>
        </w:tc>
        <w:tc>
          <w:tcPr>
            <w:tcW w:w="748" w:type="dxa"/>
            <w:shd w:val="clear" w:color="auto" w:fill="D5E6EC"/>
            <w:tcMar>
              <w:top w:w="40" w:type="dxa"/>
              <w:left w:w="40" w:type="dxa"/>
              <w:bottom w:w="40" w:type="dxa"/>
              <w:right w:w="40" w:type="dxa"/>
            </w:tcMar>
            <w:vAlign w:val="center"/>
          </w:tcPr>
          <w:p w14:paraId="69C0F1FA" w14:textId="77777777" w:rsidR="00E025A7" w:rsidRPr="00B65403" w:rsidRDefault="00000000">
            <w:pPr>
              <w:spacing w:after="0" w:line="240" w:lineRule="auto"/>
              <w:jc w:val="center"/>
            </w:pPr>
            <w:r w:rsidRPr="00B65403">
              <w:rPr>
                <w:sz w:val="14"/>
                <w:szCs w:val="14"/>
              </w:rPr>
              <w:t xml:space="preserve">557 </w:t>
            </w:r>
            <w:proofErr w:type="spellStart"/>
            <w:r w:rsidRPr="00B65403">
              <w:rPr>
                <w:sz w:val="14"/>
                <w:szCs w:val="14"/>
              </w:rPr>
              <w:t>kW</w:t>
            </w:r>
            <w:proofErr w:type="spellEnd"/>
          </w:p>
          <w:p w14:paraId="2A0FEA66" w14:textId="77777777" w:rsidR="00E025A7" w:rsidRPr="00B65403" w:rsidRDefault="00000000">
            <w:pPr>
              <w:spacing w:after="0" w:line="240" w:lineRule="auto"/>
              <w:jc w:val="center"/>
            </w:pPr>
            <w:r w:rsidRPr="00B65403">
              <w:rPr>
                <w:b/>
                <w:bCs/>
                <w:sz w:val="14"/>
                <w:szCs w:val="14"/>
              </w:rPr>
              <w:t>12%</w:t>
            </w:r>
          </w:p>
        </w:tc>
        <w:tc>
          <w:tcPr>
            <w:tcW w:w="748" w:type="dxa"/>
            <w:shd w:val="clear" w:color="auto" w:fill="D5E6EC"/>
            <w:tcMar>
              <w:top w:w="40" w:type="dxa"/>
              <w:left w:w="40" w:type="dxa"/>
              <w:bottom w:w="40" w:type="dxa"/>
              <w:right w:w="40" w:type="dxa"/>
            </w:tcMar>
            <w:vAlign w:val="center"/>
          </w:tcPr>
          <w:p w14:paraId="3FA01815" w14:textId="77777777" w:rsidR="00E025A7" w:rsidRPr="00B65403" w:rsidRDefault="00000000">
            <w:pPr>
              <w:spacing w:after="0" w:line="240" w:lineRule="auto"/>
              <w:jc w:val="center"/>
            </w:pPr>
            <w:r w:rsidRPr="00B65403">
              <w:rPr>
                <w:sz w:val="14"/>
                <w:szCs w:val="14"/>
              </w:rPr>
              <w:t xml:space="preserve">1.114 </w:t>
            </w:r>
            <w:proofErr w:type="spellStart"/>
            <w:r w:rsidRPr="00B65403">
              <w:rPr>
                <w:sz w:val="14"/>
                <w:szCs w:val="14"/>
              </w:rPr>
              <w:t>kW</w:t>
            </w:r>
            <w:proofErr w:type="spellEnd"/>
          </w:p>
          <w:p w14:paraId="7BC8ACFA" w14:textId="77777777" w:rsidR="00E025A7" w:rsidRPr="00B65403" w:rsidRDefault="00000000">
            <w:pPr>
              <w:spacing w:after="0" w:line="240" w:lineRule="auto"/>
              <w:jc w:val="center"/>
            </w:pPr>
            <w:r w:rsidRPr="00B65403">
              <w:rPr>
                <w:b/>
                <w:bCs/>
                <w:sz w:val="14"/>
                <w:szCs w:val="14"/>
              </w:rPr>
              <w:t>25%</w:t>
            </w:r>
          </w:p>
        </w:tc>
        <w:tc>
          <w:tcPr>
            <w:tcW w:w="748" w:type="dxa"/>
            <w:shd w:val="clear" w:color="auto" w:fill="D5E6EC"/>
            <w:tcMar>
              <w:top w:w="40" w:type="dxa"/>
              <w:left w:w="40" w:type="dxa"/>
              <w:bottom w:w="40" w:type="dxa"/>
              <w:right w:w="40" w:type="dxa"/>
            </w:tcMar>
            <w:vAlign w:val="center"/>
          </w:tcPr>
          <w:p w14:paraId="5CA0DA5F" w14:textId="77777777" w:rsidR="00E025A7" w:rsidRPr="00B65403" w:rsidRDefault="00000000">
            <w:pPr>
              <w:spacing w:after="0" w:line="240" w:lineRule="auto"/>
              <w:jc w:val="center"/>
            </w:pPr>
            <w:r w:rsidRPr="00B65403">
              <w:rPr>
                <w:sz w:val="14"/>
                <w:szCs w:val="14"/>
              </w:rPr>
              <w:t xml:space="preserve">1.671 </w:t>
            </w:r>
            <w:proofErr w:type="spellStart"/>
            <w:r w:rsidRPr="00B65403">
              <w:rPr>
                <w:sz w:val="14"/>
                <w:szCs w:val="14"/>
              </w:rPr>
              <w:t>kW</w:t>
            </w:r>
            <w:proofErr w:type="spellEnd"/>
          </w:p>
          <w:p w14:paraId="21E6498D" w14:textId="77777777" w:rsidR="00E025A7" w:rsidRPr="00B65403" w:rsidRDefault="00000000">
            <w:pPr>
              <w:spacing w:after="0" w:line="240" w:lineRule="auto"/>
              <w:jc w:val="center"/>
            </w:pPr>
            <w:r w:rsidRPr="00B65403">
              <w:rPr>
                <w:b/>
                <w:bCs/>
                <w:sz w:val="14"/>
                <w:szCs w:val="14"/>
              </w:rPr>
              <w:t>37%</w:t>
            </w:r>
          </w:p>
        </w:tc>
      </w:tr>
      <w:tr w:rsidR="00E025A7" w14:paraId="0C253BCF" w14:textId="77777777">
        <w:trPr>
          <w:cantSplit/>
          <w:jc w:val="center"/>
        </w:trPr>
        <w:tc>
          <w:tcPr>
            <w:tcW w:w="1000" w:type="dxa"/>
            <w:vMerge/>
            <w:shd w:val="clear" w:color="auto" w:fill="EFEFEF"/>
            <w:tcMar>
              <w:top w:w="40" w:type="dxa"/>
              <w:left w:w="40" w:type="dxa"/>
              <w:bottom w:w="40" w:type="dxa"/>
              <w:right w:w="40" w:type="dxa"/>
            </w:tcMar>
            <w:vAlign w:val="center"/>
          </w:tcPr>
          <w:p w14:paraId="189A6BCB" w14:textId="77777777" w:rsidR="00E025A7" w:rsidRPr="00B65403" w:rsidRDefault="00E025A7">
            <w:pPr>
              <w:spacing w:after="0" w:line="240" w:lineRule="auto"/>
              <w:jc w:val="center"/>
            </w:pPr>
          </w:p>
        </w:tc>
        <w:tc>
          <w:tcPr>
            <w:tcW w:w="900" w:type="dxa"/>
            <w:shd w:val="clear" w:color="auto" w:fill="EFEFEF"/>
            <w:tcMar>
              <w:top w:w="40" w:type="dxa"/>
              <w:left w:w="40" w:type="dxa"/>
              <w:bottom w:w="40" w:type="dxa"/>
              <w:right w:w="40" w:type="dxa"/>
            </w:tcMar>
            <w:vAlign w:val="center"/>
          </w:tcPr>
          <w:p w14:paraId="7725F899" w14:textId="77777777" w:rsidR="00E025A7" w:rsidRPr="00B65403" w:rsidRDefault="00000000">
            <w:pPr>
              <w:spacing w:after="0" w:line="240" w:lineRule="auto"/>
              <w:jc w:val="center"/>
            </w:pPr>
            <w:r w:rsidRPr="00B65403">
              <w:rPr>
                <w:b/>
                <w:bCs/>
                <w:sz w:val="14"/>
                <w:szCs w:val="14"/>
              </w:rPr>
              <w:t>LR</w:t>
            </w:r>
          </w:p>
        </w:tc>
        <w:tc>
          <w:tcPr>
            <w:tcW w:w="748" w:type="dxa"/>
            <w:shd w:val="clear" w:color="auto" w:fill="F7EFE4"/>
            <w:tcMar>
              <w:top w:w="40" w:type="dxa"/>
              <w:left w:w="40" w:type="dxa"/>
              <w:bottom w:w="40" w:type="dxa"/>
              <w:right w:w="40" w:type="dxa"/>
            </w:tcMar>
            <w:vAlign w:val="center"/>
          </w:tcPr>
          <w:p w14:paraId="06BF0C15" w14:textId="77777777" w:rsidR="00E025A7" w:rsidRPr="00B65403" w:rsidRDefault="00000000">
            <w:pPr>
              <w:spacing w:after="0" w:line="240" w:lineRule="auto"/>
              <w:jc w:val="center"/>
            </w:pPr>
            <w:r w:rsidRPr="00B65403">
              <w:rPr>
                <w:sz w:val="14"/>
                <w:szCs w:val="14"/>
              </w:rPr>
              <w:t xml:space="preserve">112 </w:t>
            </w:r>
            <w:proofErr w:type="spellStart"/>
            <w:r w:rsidRPr="00B65403">
              <w:rPr>
                <w:sz w:val="14"/>
                <w:szCs w:val="14"/>
              </w:rPr>
              <w:t>kW</w:t>
            </w:r>
            <w:proofErr w:type="spellEnd"/>
          </w:p>
          <w:p w14:paraId="6A3F36E7" w14:textId="77777777" w:rsidR="00E025A7" w:rsidRPr="00B65403" w:rsidRDefault="00000000">
            <w:pPr>
              <w:spacing w:after="0" w:line="240" w:lineRule="auto"/>
              <w:jc w:val="center"/>
            </w:pPr>
            <w:r w:rsidRPr="00B65403">
              <w:rPr>
                <w:b/>
                <w:bCs/>
                <w:sz w:val="14"/>
                <w:szCs w:val="14"/>
              </w:rPr>
              <w:t>2%</w:t>
            </w:r>
          </w:p>
        </w:tc>
        <w:tc>
          <w:tcPr>
            <w:tcW w:w="748" w:type="dxa"/>
            <w:shd w:val="clear" w:color="auto" w:fill="F7EFE4"/>
            <w:tcMar>
              <w:top w:w="40" w:type="dxa"/>
              <w:left w:w="40" w:type="dxa"/>
              <w:bottom w:w="40" w:type="dxa"/>
              <w:right w:w="40" w:type="dxa"/>
            </w:tcMar>
            <w:vAlign w:val="center"/>
          </w:tcPr>
          <w:p w14:paraId="162A1B61" w14:textId="77777777" w:rsidR="00E025A7" w:rsidRPr="00B65403" w:rsidRDefault="00000000">
            <w:pPr>
              <w:spacing w:after="0" w:line="240" w:lineRule="auto"/>
              <w:jc w:val="center"/>
            </w:pPr>
            <w:r w:rsidRPr="00B65403">
              <w:rPr>
                <w:sz w:val="14"/>
                <w:szCs w:val="14"/>
              </w:rPr>
              <w:t xml:space="preserve">223 </w:t>
            </w:r>
            <w:proofErr w:type="spellStart"/>
            <w:r w:rsidRPr="00B65403">
              <w:rPr>
                <w:sz w:val="14"/>
                <w:szCs w:val="14"/>
              </w:rPr>
              <w:t>kW</w:t>
            </w:r>
            <w:proofErr w:type="spellEnd"/>
          </w:p>
          <w:p w14:paraId="68691B72" w14:textId="77777777" w:rsidR="00E025A7" w:rsidRPr="00B65403" w:rsidRDefault="00000000">
            <w:pPr>
              <w:spacing w:after="0" w:line="240" w:lineRule="auto"/>
              <w:jc w:val="center"/>
            </w:pPr>
            <w:r w:rsidRPr="00B65403">
              <w:rPr>
                <w:b/>
                <w:bCs/>
                <w:sz w:val="14"/>
                <w:szCs w:val="14"/>
              </w:rPr>
              <w:t>4%</w:t>
            </w:r>
          </w:p>
        </w:tc>
        <w:tc>
          <w:tcPr>
            <w:tcW w:w="748" w:type="dxa"/>
            <w:shd w:val="clear" w:color="auto" w:fill="F7EFE4"/>
            <w:tcMar>
              <w:top w:w="40" w:type="dxa"/>
              <w:left w:w="40" w:type="dxa"/>
              <w:bottom w:w="40" w:type="dxa"/>
              <w:right w:w="40" w:type="dxa"/>
            </w:tcMar>
            <w:vAlign w:val="center"/>
          </w:tcPr>
          <w:p w14:paraId="234EE1FF" w14:textId="77777777" w:rsidR="00E025A7" w:rsidRPr="00B65403" w:rsidRDefault="00000000">
            <w:pPr>
              <w:spacing w:after="0" w:line="240" w:lineRule="auto"/>
              <w:jc w:val="center"/>
            </w:pPr>
            <w:r w:rsidRPr="00B65403">
              <w:rPr>
                <w:sz w:val="14"/>
                <w:szCs w:val="14"/>
              </w:rPr>
              <w:t xml:space="preserve">335 </w:t>
            </w:r>
            <w:proofErr w:type="spellStart"/>
            <w:r w:rsidRPr="00B65403">
              <w:rPr>
                <w:sz w:val="14"/>
                <w:szCs w:val="14"/>
              </w:rPr>
              <w:t>kW</w:t>
            </w:r>
            <w:proofErr w:type="spellEnd"/>
          </w:p>
          <w:p w14:paraId="2440B799" w14:textId="77777777" w:rsidR="00E025A7" w:rsidRPr="00B65403" w:rsidRDefault="00000000">
            <w:pPr>
              <w:spacing w:after="0" w:line="240" w:lineRule="auto"/>
              <w:jc w:val="center"/>
            </w:pPr>
            <w:r w:rsidRPr="00B65403">
              <w:rPr>
                <w:b/>
                <w:bCs/>
                <w:sz w:val="14"/>
                <w:szCs w:val="14"/>
              </w:rPr>
              <w:t>6%</w:t>
            </w:r>
          </w:p>
        </w:tc>
        <w:tc>
          <w:tcPr>
            <w:tcW w:w="748" w:type="dxa"/>
            <w:shd w:val="clear" w:color="auto" w:fill="E6F0F3"/>
            <w:tcMar>
              <w:top w:w="40" w:type="dxa"/>
              <w:left w:w="40" w:type="dxa"/>
              <w:bottom w:w="40" w:type="dxa"/>
              <w:right w:w="40" w:type="dxa"/>
            </w:tcMar>
            <w:vAlign w:val="center"/>
          </w:tcPr>
          <w:p w14:paraId="61D038C1" w14:textId="77777777" w:rsidR="00E025A7" w:rsidRPr="00B65403" w:rsidRDefault="00000000">
            <w:pPr>
              <w:spacing w:after="0" w:line="240" w:lineRule="auto"/>
              <w:jc w:val="center"/>
            </w:pPr>
            <w:r w:rsidRPr="00B65403">
              <w:rPr>
                <w:sz w:val="14"/>
                <w:szCs w:val="14"/>
              </w:rPr>
              <w:t xml:space="preserve">311 </w:t>
            </w:r>
            <w:proofErr w:type="spellStart"/>
            <w:r w:rsidRPr="00B65403">
              <w:rPr>
                <w:sz w:val="14"/>
                <w:szCs w:val="14"/>
              </w:rPr>
              <w:t>kW</w:t>
            </w:r>
            <w:proofErr w:type="spellEnd"/>
          </w:p>
          <w:p w14:paraId="0C1E2B98" w14:textId="77777777" w:rsidR="00E025A7" w:rsidRPr="00B65403" w:rsidRDefault="00000000">
            <w:pPr>
              <w:spacing w:after="0" w:line="240" w:lineRule="auto"/>
              <w:jc w:val="center"/>
            </w:pPr>
            <w:r w:rsidRPr="00B65403">
              <w:rPr>
                <w:b/>
                <w:bCs/>
                <w:sz w:val="14"/>
                <w:szCs w:val="14"/>
              </w:rPr>
              <w:t>5%</w:t>
            </w:r>
          </w:p>
        </w:tc>
        <w:tc>
          <w:tcPr>
            <w:tcW w:w="748" w:type="dxa"/>
            <w:shd w:val="clear" w:color="auto" w:fill="E6F0F3"/>
            <w:tcMar>
              <w:top w:w="40" w:type="dxa"/>
              <w:left w:w="40" w:type="dxa"/>
              <w:bottom w:w="40" w:type="dxa"/>
              <w:right w:w="40" w:type="dxa"/>
            </w:tcMar>
            <w:vAlign w:val="center"/>
          </w:tcPr>
          <w:p w14:paraId="7C7B13C6" w14:textId="77777777" w:rsidR="00E025A7" w:rsidRPr="00B65403" w:rsidRDefault="00000000">
            <w:pPr>
              <w:spacing w:after="0" w:line="240" w:lineRule="auto"/>
              <w:jc w:val="center"/>
            </w:pPr>
            <w:r w:rsidRPr="00B65403">
              <w:rPr>
                <w:sz w:val="14"/>
                <w:szCs w:val="14"/>
              </w:rPr>
              <w:t xml:space="preserve">622 </w:t>
            </w:r>
            <w:proofErr w:type="spellStart"/>
            <w:r w:rsidRPr="00B65403">
              <w:rPr>
                <w:sz w:val="14"/>
                <w:szCs w:val="14"/>
              </w:rPr>
              <w:t>kW</w:t>
            </w:r>
            <w:proofErr w:type="spellEnd"/>
          </w:p>
          <w:p w14:paraId="18B27D8E" w14:textId="77777777" w:rsidR="00E025A7" w:rsidRPr="00B65403" w:rsidRDefault="00000000">
            <w:pPr>
              <w:spacing w:after="0" w:line="240" w:lineRule="auto"/>
              <w:jc w:val="center"/>
            </w:pPr>
            <w:r w:rsidRPr="00B65403">
              <w:rPr>
                <w:b/>
                <w:bCs/>
                <w:sz w:val="14"/>
                <w:szCs w:val="14"/>
              </w:rPr>
              <w:t>11%</w:t>
            </w:r>
          </w:p>
        </w:tc>
        <w:tc>
          <w:tcPr>
            <w:tcW w:w="748" w:type="dxa"/>
            <w:shd w:val="clear" w:color="auto" w:fill="E6F0F3"/>
            <w:tcMar>
              <w:top w:w="40" w:type="dxa"/>
              <w:left w:w="40" w:type="dxa"/>
              <w:bottom w:w="40" w:type="dxa"/>
              <w:right w:w="40" w:type="dxa"/>
            </w:tcMar>
            <w:vAlign w:val="center"/>
          </w:tcPr>
          <w:p w14:paraId="12877659" w14:textId="77777777" w:rsidR="00E025A7" w:rsidRPr="00B65403" w:rsidRDefault="00000000">
            <w:pPr>
              <w:spacing w:after="0" w:line="240" w:lineRule="auto"/>
              <w:jc w:val="center"/>
            </w:pPr>
            <w:r w:rsidRPr="00B65403">
              <w:rPr>
                <w:sz w:val="14"/>
                <w:szCs w:val="14"/>
              </w:rPr>
              <w:t xml:space="preserve">934 </w:t>
            </w:r>
            <w:proofErr w:type="spellStart"/>
            <w:r w:rsidRPr="00B65403">
              <w:rPr>
                <w:sz w:val="14"/>
                <w:szCs w:val="14"/>
              </w:rPr>
              <w:t>kW</w:t>
            </w:r>
            <w:proofErr w:type="spellEnd"/>
          </w:p>
          <w:p w14:paraId="71D3EBED" w14:textId="77777777" w:rsidR="00E025A7" w:rsidRPr="00B65403" w:rsidRDefault="00000000">
            <w:pPr>
              <w:spacing w:after="0" w:line="240" w:lineRule="auto"/>
              <w:jc w:val="center"/>
            </w:pPr>
            <w:r w:rsidRPr="00B65403">
              <w:rPr>
                <w:b/>
                <w:bCs/>
                <w:sz w:val="14"/>
                <w:szCs w:val="14"/>
              </w:rPr>
              <w:t>16%</w:t>
            </w:r>
          </w:p>
        </w:tc>
        <w:tc>
          <w:tcPr>
            <w:tcW w:w="748" w:type="dxa"/>
            <w:shd w:val="clear" w:color="auto" w:fill="D5E6EC"/>
            <w:tcMar>
              <w:top w:w="40" w:type="dxa"/>
              <w:left w:w="40" w:type="dxa"/>
              <w:bottom w:w="40" w:type="dxa"/>
              <w:right w:w="40" w:type="dxa"/>
            </w:tcMar>
            <w:vAlign w:val="center"/>
          </w:tcPr>
          <w:p w14:paraId="6A0EDAC2" w14:textId="77777777" w:rsidR="00E025A7" w:rsidRPr="00B65403" w:rsidRDefault="00000000">
            <w:pPr>
              <w:spacing w:after="0" w:line="240" w:lineRule="auto"/>
              <w:jc w:val="center"/>
            </w:pPr>
            <w:r w:rsidRPr="00B65403">
              <w:rPr>
                <w:sz w:val="14"/>
                <w:szCs w:val="14"/>
              </w:rPr>
              <w:t xml:space="preserve">587 </w:t>
            </w:r>
            <w:proofErr w:type="spellStart"/>
            <w:r w:rsidRPr="00B65403">
              <w:rPr>
                <w:sz w:val="14"/>
                <w:szCs w:val="14"/>
              </w:rPr>
              <w:t>kW</w:t>
            </w:r>
            <w:proofErr w:type="spellEnd"/>
          </w:p>
          <w:p w14:paraId="56EB2176" w14:textId="77777777" w:rsidR="00E025A7" w:rsidRPr="00B65403" w:rsidRDefault="00000000">
            <w:pPr>
              <w:spacing w:after="0" w:line="240" w:lineRule="auto"/>
              <w:jc w:val="center"/>
            </w:pPr>
            <w:r w:rsidRPr="00B65403">
              <w:rPr>
                <w:b/>
                <w:bCs/>
                <w:sz w:val="14"/>
                <w:szCs w:val="14"/>
              </w:rPr>
              <w:t>9%</w:t>
            </w:r>
          </w:p>
        </w:tc>
        <w:tc>
          <w:tcPr>
            <w:tcW w:w="748" w:type="dxa"/>
            <w:shd w:val="clear" w:color="auto" w:fill="D5E6EC"/>
            <w:tcMar>
              <w:top w:w="40" w:type="dxa"/>
              <w:left w:w="40" w:type="dxa"/>
              <w:bottom w:w="40" w:type="dxa"/>
              <w:right w:w="40" w:type="dxa"/>
            </w:tcMar>
            <w:vAlign w:val="center"/>
          </w:tcPr>
          <w:p w14:paraId="156F95AB" w14:textId="77777777" w:rsidR="00E025A7" w:rsidRPr="00B65403" w:rsidRDefault="00000000">
            <w:pPr>
              <w:spacing w:after="0" w:line="240" w:lineRule="auto"/>
              <w:jc w:val="center"/>
            </w:pPr>
            <w:r w:rsidRPr="00B65403">
              <w:rPr>
                <w:sz w:val="14"/>
                <w:szCs w:val="14"/>
              </w:rPr>
              <w:t xml:space="preserve">1.174 </w:t>
            </w:r>
            <w:proofErr w:type="spellStart"/>
            <w:r w:rsidRPr="00B65403">
              <w:rPr>
                <w:sz w:val="14"/>
                <w:szCs w:val="14"/>
              </w:rPr>
              <w:t>kW</w:t>
            </w:r>
            <w:proofErr w:type="spellEnd"/>
          </w:p>
          <w:p w14:paraId="74CD86E0" w14:textId="77777777" w:rsidR="00E025A7" w:rsidRPr="00B65403" w:rsidRDefault="00000000">
            <w:pPr>
              <w:spacing w:after="0" w:line="240" w:lineRule="auto"/>
              <w:jc w:val="center"/>
            </w:pPr>
            <w:r w:rsidRPr="00B65403">
              <w:rPr>
                <w:b/>
                <w:bCs/>
                <w:sz w:val="14"/>
                <w:szCs w:val="14"/>
              </w:rPr>
              <w:t>18%</w:t>
            </w:r>
          </w:p>
        </w:tc>
        <w:tc>
          <w:tcPr>
            <w:tcW w:w="748" w:type="dxa"/>
            <w:shd w:val="clear" w:color="auto" w:fill="D5E6EC"/>
            <w:tcMar>
              <w:top w:w="40" w:type="dxa"/>
              <w:left w:w="40" w:type="dxa"/>
              <w:bottom w:w="40" w:type="dxa"/>
              <w:right w:w="40" w:type="dxa"/>
            </w:tcMar>
            <w:vAlign w:val="center"/>
          </w:tcPr>
          <w:p w14:paraId="0BBC43B4" w14:textId="77777777" w:rsidR="00E025A7" w:rsidRPr="00B65403" w:rsidRDefault="00000000">
            <w:pPr>
              <w:spacing w:after="0" w:line="240" w:lineRule="auto"/>
              <w:jc w:val="center"/>
            </w:pPr>
            <w:r w:rsidRPr="00B65403">
              <w:rPr>
                <w:sz w:val="14"/>
                <w:szCs w:val="14"/>
              </w:rPr>
              <w:t xml:space="preserve">1.762 </w:t>
            </w:r>
            <w:proofErr w:type="spellStart"/>
            <w:r w:rsidRPr="00B65403">
              <w:rPr>
                <w:sz w:val="14"/>
                <w:szCs w:val="14"/>
              </w:rPr>
              <w:t>kW</w:t>
            </w:r>
            <w:proofErr w:type="spellEnd"/>
          </w:p>
          <w:p w14:paraId="507DFB79" w14:textId="77777777" w:rsidR="00E025A7" w:rsidRPr="00B65403" w:rsidRDefault="00000000">
            <w:pPr>
              <w:spacing w:after="0" w:line="240" w:lineRule="auto"/>
              <w:jc w:val="center"/>
            </w:pPr>
            <w:r w:rsidRPr="00B65403">
              <w:rPr>
                <w:b/>
                <w:bCs/>
                <w:sz w:val="14"/>
                <w:szCs w:val="14"/>
              </w:rPr>
              <w:t>27%</w:t>
            </w:r>
          </w:p>
        </w:tc>
      </w:tr>
      <w:tr w:rsidR="00E025A7" w14:paraId="762F4873" w14:textId="77777777">
        <w:trPr>
          <w:cantSplit/>
          <w:jc w:val="center"/>
        </w:trPr>
        <w:tc>
          <w:tcPr>
            <w:tcW w:w="1000" w:type="dxa"/>
            <w:vMerge/>
            <w:shd w:val="clear" w:color="auto" w:fill="EFEFEF"/>
            <w:tcMar>
              <w:top w:w="40" w:type="dxa"/>
              <w:left w:w="40" w:type="dxa"/>
              <w:bottom w:w="40" w:type="dxa"/>
              <w:right w:w="40" w:type="dxa"/>
            </w:tcMar>
            <w:vAlign w:val="center"/>
          </w:tcPr>
          <w:p w14:paraId="0B74286E" w14:textId="77777777" w:rsidR="00E025A7" w:rsidRPr="00B65403" w:rsidRDefault="00E025A7">
            <w:pPr>
              <w:spacing w:after="0" w:line="240" w:lineRule="auto"/>
              <w:jc w:val="center"/>
            </w:pPr>
          </w:p>
        </w:tc>
        <w:tc>
          <w:tcPr>
            <w:tcW w:w="900" w:type="dxa"/>
            <w:shd w:val="clear" w:color="auto" w:fill="EFEFEF"/>
            <w:tcMar>
              <w:top w:w="40" w:type="dxa"/>
              <w:left w:w="40" w:type="dxa"/>
              <w:bottom w:w="40" w:type="dxa"/>
              <w:right w:w="40" w:type="dxa"/>
            </w:tcMar>
            <w:vAlign w:val="center"/>
          </w:tcPr>
          <w:p w14:paraId="023FA83B" w14:textId="77777777" w:rsidR="00E025A7" w:rsidRPr="00B65403" w:rsidRDefault="00000000">
            <w:pPr>
              <w:spacing w:after="0" w:line="240" w:lineRule="auto"/>
              <w:jc w:val="center"/>
            </w:pPr>
            <w:r w:rsidRPr="00B65403">
              <w:rPr>
                <w:b/>
                <w:bCs/>
                <w:sz w:val="14"/>
                <w:szCs w:val="14"/>
              </w:rPr>
              <w:t>VLOC</w:t>
            </w:r>
          </w:p>
        </w:tc>
        <w:tc>
          <w:tcPr>
            <w:tcW w:w="748" w:type="dxa"/>
            <w:shd w:val="clear" w:color="auto" w:fill="F7EFE4"/>
            <w:tcMar>
              <w:top w:w="40" w:type="dxa"/>
              <w:left w:w="40" w:type="dxa"/>
              <w:bottom w:w="40" w:type="dxa"/>
              <w:right w:w="40" w:type="dxa"/>
            </w:tcMar>
            <w:vAlign w:val="center"/>
          </w:tcPr>
          <w:p w14:paraId="5F258F9C" w14:textId="77777777" w:rsidR="00E025A7" w:rsidRPr="00B65403" w:rsidRDefault="00000000">
            <w:pPr>
              <w:spacing w:after="0" w:line="240" w:lineRule="auto"/>
              <w:jc w:val="center"/>
            </w:pPr>
            <w:r w:rsidRPr="00B65403">
              <w:rPr>
                <w:sz w:val="14"/>
                <w:szCs w:val="14"/>
              </w:rPr>
              <w:t xml:space="preserve">113 </w:t>
            </w:r>
            <w:proofErr w:type="spellStart"/>
            <w:r w:rsidRPr="00B65403">
              <w:rPr>
                <w:sz w:val="14"/>
                <w:szCs w:val="14"/>
              </w:rPr>
              <w:t>kW</w:t>
            </w:r>
            <w:proofErr w:type="spellEnd"/>
          </w:p>
          <w:p w14:paraId="3F034C02" w14:textId="77777777" w:rsidR="00E025A7" w:rsidRPr="00B65403" w:rsidRDefault="00000000">
            <w:pPr>
              <w:spacing w:after="0" w:line="240" w:lineRule="auto"/>
              <w:jc w:val="center"/>
            </w:pPr>
            <w:r w:rsidRPr="00B65403">
              <w:rPr>
                <w:b/>
                <w:bCs/>
                <w:sz w:val="14"/>
                <w:szCs w:val="14"/>
              </w:rPr>
              <w:t>1%</w:t>
            </w:r>
          </w:p>
        </w:tc>
        <w:tc>
          <w:tcPr>
            <w:tcW w:w="748" w:type="dxa"/>
            <w:shd w:val="clear" w:color="auto" w:fill="F7EFE4"/>
            <w:tcMar>
              <w:top w:w="40" w:type="dxa"/>
              <w:left w:w="40" w:type="dxa"/>
              <w:bottom w:w="40" w:type="dxa"/>
              <w:right w:w="40" w:type="dxa"/>
            </w:tcMar>
            <w:vAlign w:val="center"/>
          </w:tcPr>
          <w:p w14:paraId="7C87CEA0" w14:textId="77777777" w:rsidR="00E025A7" w:rsidRPr="00B65403" w:rsidRDefault="00000000">
            <w:pPr>
              <w:spacing w:after="0" w:line="240" w:lineRule="auto"/>
              <w:jc w:val="center"/>
            </w:pPr>
            <w:r w:rsidRPr="00B65403">
              <w:rPr>
                <w:sz w:val="14"/>
                <w:szCs w:val="14"/>
              </w:rPr>
              <w:t xml:space="preserve">226 </w:t>
            </w:r>
            <w:proofErr w:type="spellStart"/>
            <w:r w:rsidRPr="00B65403">
              <w:rPr>
                <w:sz w:val="14"/>
                <w:szCs w:val="14"/>
              </w:rPr>
              <w:t>kW</w:t>
            </w:r>
            <w:proofErr w:type="spellEnd"/>
          </w:p>
          <w:p w14:paraId="010ED188" w14:textId="77777777" w:rsidR="00E025A7" w:rsidRPr="00B65403" w:rsidRDefault="00000000">
            <w:pPr>
              <w:spacing w:after="0" w:line="240" w:lineRule="auto"/>
              <w:jc w:val="center"/>
            </w:pPr>
            <w:r w:rsidRPr="00B65403">
              <w:rPr>
                <w:b/>
                <w:bCs/>
                <w:sz w:val="14"/>
                <w:szCs w:val="14"/>
              </w:rPr>
              <w:t>3%</w:t>
            </w:r>
          </w:p>
        </w:tc>
        <w:tc>
          <w:tcPr>
            <w:tcW w:w="748" w:type="dxa"/>
            <w:shd w:val="clear" w:color="auto" w:fill="F7EFE4"/>
            <w:tcMar>
              <w:top w:w="40" w:type="dxa"/>
              <w:left w:w="40" w:type="dxa"/>
              <w:bottom w:w="40" w:type="dxa"/>
              <w:right w:w="40" w:type="dxa"/>
            </w:tcMar>
            <w:vAlign w:val="center"/>
          </w:tcPr>
          <w:p w14:paraId="3088F632" w14:textId="77777777" w:rsidR="00E025A7" w:rsidRPr="00B65403" w:rsidRDefault="00000000">
            <w:pPr>
              <w:spacing w:after="0" w:line="240" w:lineRule="auto"/>
              <w:jc w:val="center"/>
            </w:pPr>
            <w:r w:rsidRPr="00B65403">
              <w:rPr>
                <w:sz w:val="14"/>
                <w:szCs w:val="14"/>
              </w:rPr>
              <w:t xml:space="preserve">340 </w:t>
            </w:r>
            <w:proofErr w:type="spellStart"/>
            <w:r w:rsidRPr="00B65403">
              <w:rPr>
                <w:sz w:val="14"/>
                <w:szCs w:val="14"/>
              </w:rPr>
              <w:t>kW</w:t>
            </w:r>
            <w:proofErr w:type="spellEnd"/>
          </w:p>
          <w:p w14:paraId="1159A0F4" w14:textId="77777777" w:rsidR="00E025A7" w:rsidRPr="00B65403" w:rsidRDefault="00000000">
            <w:pPr>
              <w:spacing w:after="0" w:line="240" w:lineRule="auto"/>
              <w:jc w:val="center"/>
            </w:pPr>
            <w:r w:rsidRPr="00B65403">
              <w:rPr>
                <w:b/>
                <w:bCs/>
                <w:sz w:val="14"/>
                <w:szCs w:val="14"/>
              </w:rPr>
              <w:t>4%</w:t>
            </w:r>
          </w:p>
        </w:tc>
        <w:tc>
          <w:tcPr>
            <w:tcW w:w="748" w:type="dxa"/>
            <w:shd w:val="clear" w:color="auto" w:fill="E6F0F3"/>
            <w:tcMar>
              <w:top w:w="40" w:type="dxa"/>
              <w:left w:w="40" w:type="dxa"/>
              <w:bottom w:w="40" w:type="dxa"/>
              <w:right w:w="40" w:type="dxa"/>
            </w:tcMar>
            <w:vAlign w:val="center"/>
          </w:tcPr>
          <w:p w14:paraId="368065E1" w14:textId="77777777" w:rsidR="00E025A7" w:rsidRPr="00B65403" w:rsidRDefault="00000000">
            <w:pPr>
              <w:spacing w:after="0" w:line="240" w:lineRule="auto"/>
              <w:jc w:val="center"/>
            </w:pPr>
            <w:r w:rsidRPr="00B65403">
              <w:rPr>
                <w:sz w:val="14"/>
                <w:szCs w:val="14"/>
              </w:rPr>
              <w:t xml:space="preserve">314 </w:t>
            </w:r>
            <w:proofErr w:type="spellStart"/>
            <w:r w:rsidRPr="00B65403">
              <w:rPr>
                <w:sz w:val="14"/>
                <w:szCs w:val="14"/>
              </w:rPr>
              <w:t>kW</w:t>
            </w:r>
            <w:proofErr w:type="spellEnd"/>
          </w:p>
          <w:p w14:paraId="76D13187" w14:textId="77777777" w:rsidR="00E025A7" w:rsidRPr="00B65403" w:rsidRDefault="00000000">
            <w:pPr>
              <w:spacing w:after="0" w:line="240" w:lineRule="auto"/>
              <w:jc w:val="center"/>
            </w:pPr>
            <w:r w:rsidRPr="00B65403">
              <w:rPr>
                <w:b/>
                <w:bCs/>
                <w:sz w:val="14"/>
                <w:szCs w:val="14"/>
              </w:rPr>
              <w:t>3%</w:t>
            </w:r>
          </w:p>
        </w:tc>
        <w:tc>
          <w:tcPr>
            <w:tcW w:w="748" w:type="dxa"/>
            <w:shd w:val="clear" w:color="auto" w:fill="E6F0F3"/>
            <w:tcMar>
              <w:top w:w="40" w:type="dxa"/>
              <w:left w:w="40" w:type="dxa"/>
              <w:bottom w:w="40" w:type="dxa"/>
              <w:right w:w="40" w:type="dxa"/>
            </w:tcMar>
            <w:vAlign w:val="center"/>
          </w:tcPr>
          <w:p w14:paraId="526606D2" w14:textId="77777777" w:rsidR="00E025A7" w:rsidRPr="00B65403" w:rsidRDefault="00000000">
            <w:pPr>
              <w:spacing w:after="0" w:line="240" w:lineRule="auto"/>
              <w:jc w:val="center"/>
            </w:pPr>
            <w:r w:rsidRPr="00B65403">
              <w:rPr>
                <w:sz w:val="14"/>
                <w:szCs w:val="14"/>
              </w:rPr>
              <w:t xml:space="preserve">629 </w:t>
            </w:r>
            <w:proofErr w:type="spellStart"/>
            <w:r w:rsidRPr="00B65403">
              <w:rPr>
                <w:sz w:val="14"/>
                <w:szCs w:val="14"/>
              </w:rPr>
              <w:t>kW</w:t>
            </w:r>
            <w:proofErr w:type="spellEnd"/>
          </w:p>
          <w:p w14:paraId="2F208D04" w14:textId="77777777" w:rsidR="00E025A7" w:rsidRPr="00B65403" w:rsidRDefault="00000000">
            <w:pPr>
              <w:spacing w:after="0" w:line="240" w:lineRule="auto"/>
              <w:jc w:val="center"/>
            </w:pPr>
            <w:r w:rsidRPr="00B65403">
              <w:rPr>
                <w:b/>
                <w:bCs/>
                <w:sz w:val="14"/>
                <w:szCs w:val="14"/>
              </w:rPr>
              <w:t>7%</w:t>
            </w:r>
          </w:p>
        </w:tc>
        <w:tc>
          <w:tcPr>
            <w:tcW w:w="748" w:type="dxa"/>
            <w:shd w:val="clear" w:color="auto" w:fill="E6F0F3"/>
            <w:tcMar>
              <w:top w:w="40" w:type="dxa"/>
              <w:left w:w="40" w:type="dxa"/>
              <w:bottom w:w="40" w:type="dxa"/>
              <w:right w:w="40" w:type="dxa"/>
            </w:tcMar>
            <w:vAlign w:val="center"/>
          </w:tcPr>
          <w:p w14:paraId="0ECEAD6B" w14:textId="77777777" w:rsidR="00E025A7" w:rsidRPr="00B65403" w:rsidRDefault="00000000">
            <w:pPr>
              <w:spacing w:after="0" w:line="240" w:lineRule="auto"/>
              <w:jc w:val="center"/>
            </w:pPr>
            <w:r w:rsidRPr="00B65403">
              <w:rPr>
                <w:sz w:val="14"/>
                <w:szCs w:val="14"/>
              </w:rPr>
              <w:t xml:space="preserve">943 </w:t>
            </w:r>
            <w:proofErr w:type="spellStart"/>
            <w:r w:rsidRPr="00B65403">
              <w:rPr>
                <w:sz w:val="14"/>
                <w:szCs w:val="14"/>
              </w:rPr>
              <w:t>kW</w:t>
            </w:r>
            <w:proofErr w:type="spellEnd"/>
          </w:p>
          <w:p w14:paraId="29DFA8FB" w14:textId="77777777" w:rsidR="00E025A7" w:rsidRPr="00B65403" w:rsidRDefault="00000000">
            <w:pPr>
              <w:spacing w:after="0" w:line="240" w:lineRule="auto"/>
              <w:jc w:val="center"/>
            </w:pPr>
            <w:r w:rsidRPr="00B65403">
              <w:rPr>
                <w:b/>
                <w:bCs/>
                <w:sz w:val="14"/>
                <w:szCs w:val="14"/>
              </w:rPr>
              <w:t>10%</w:t>
            </w:r>
          </w:p>
        </w:tc>
        <w:tc>
          <w:tcPr>
            <w:tcW w:w="748" w:type="dxa"/>
            <w:shd w:val="clear" w:color="auto" w:fill="D5E6EC"/>
            <w:tcMar>
              <w:top w:w="40" w:type="dxa"/>
              <w:left w:w="40" w:type="dxa"/>
              <w:bottom w:w="40" w:type="dxa"/>
              <w:right w:w="40" w:type="dxa"/>
            </w:tcMar>
            <w:vAlign w:val="center"/>
          </w:tcPr>
          <w:p w14:paraId="04626720" w14:textId="77777777" w:rsidR="00E025A7" w:rsidRPr="00B65403" w:rsidRDefault="00000000">
            <w:pPr>
              <w:spacing w:after="0" w:line="240" w:lineRule="auto"/>
              <w:jc w:val="center"/>
            </w:pPr>
            <w:r w:rsidRPr="00B65403">
              <w:rPr>
                <w:sz w:val="14"/>
                <w:szCs w:val="14"/>
              </w:rPr>
              <w:t xml:space="preserve">592 </w:t>
            </w:r>
            <w:proofErr w:type="spellStart"/>
            <w:r w:rsidRPr="00B65403">
              <w:rPr>
                <w:sz w:val="14"/>
                <w:szCs w:val="14"/>
              </w:rPr>
              <w:t>kW</w:t>
            </w:r>
            <w:proofErr w:type="spellEnd"/>
          </w:p>
          <w:p w14:paraId="4E1AE41B" w14:textId="77777777" w:rsidR="00E025A7" w:rsidRPr="00B65403" w:rsidRDefault="00000000">
            <w:pPr>
              <w:spacing w:after="0" w:line="240" w:lineRule="auto"/>
              <w:jc w:val="center"/>
            </w:pPr>
            <w:r w:rsidRPr="00B65403">
              <w:rPr>
                <w:b/>
                <w:bCs/>
                <w:sz w:val="14"/>
                <w:szCs w:val="14"/>
              </w:rPr>
              <w:t>6%</w:t>
            </w:r>
          </w:p>
        </w:tc>
        <w:tc>
          <w:tcPr>
            <w:tcW w:w="748" w:type="dxa"/>
            <w:shd w:val="clear" w:color="auto" w:fill="D5E6EC"/>
            <w:tcMar>
              <w:top w:w="40" w:type="dxa"/>
              <w:left w:w="40" w:type="dxa"/>
              <w:bottom w:w="40" w:type="dxa"/>
              <w:right w:w="40" w:type="dxa"/>
            </w:tcMar>
            <w:vAlign w:val="center"/>
          </w:tcPr>
          <w:p w14:paraId="78ADC376" w14:textId="77777777" w:rsidR="00E025A7" w:rsidRPr="00B65403" w:rsidRDefault="00000000">
            <w:pPr>
              <w:spacing w:after="0" w:line="240" w:lineRule="auto"/>
              <w:jc w:val="center"/>
            </w:pPr>
            <w:r w:rsidRPr="00B65403">
              <w:rPr>
                <w:sz w:val="14"/>
                <w:szCs w:val="14"/>
              </w:rPr>
              <w:t xml:space="preserve">1.184 </w:t>
            </w:r>
            <w:proofErr w:type="spellStart"/>
            <w:r w:rsidRPr="00B65403">
              <w:rPr>
                <w:sz w:val="14"/>
                <w:szCs w:val="14"/>
              </w:rPr>
              <w:t>kW</w:t>
            </w:r>
            <w:proofErr w:type="spellEnd"/>
          </w:p>
          <w:p w14:paraId="3D307609" w14:textId="77777777" w:rsidR="00E025A7" w:rsidRPr="00B65403" w:rsidRDefault="00000000">
            <w:pPr>
              <w:spacing w:after="0" w:line="240" w:lineRule="auto"/>
              <w:jc w:val="center"/>
            </w:pPr>
            <w:r w:rsidRPr="00B65403">
              <w:rPr>
                <w:b/>
                <w:bCs/>
                <w:sz w:val="14"/>
                <w:szCs w:val="14"/>
              </w:rPr>
              <w:t>11%</w:t>
            </w:r>
          </w:p>
        </w:tc>
        <w:tc>
          <w:tcPr>
            <w:tcW w:w="748" w:type="dxa"/>
            <w:shd w:val="clear" w:color="auto" w:fill="D5E6EC"/>
            <w:tcMar>
              <w:top w:w="40" w:type="dxa"/>
              <w:left w:w="40" w:type="dxa"/>
              <w:bottom w:w="40" w:type="dxa"/>
              <w:right w:w="40" w:type="dxa"/>
            </w:tcMar>
            <w:vAlign w:val="center"/>
          </w:tcPr>
          <w:p w14:paraId="072D0DF7" w14:textId="77777777" w:rsidR="00E025A7" w:rsidRPr="00B65403" w:rsidRDefault="00000000">
            <w:pPr>
              <w:spacing w:after="0" w:line="240" w:lineRule="auto"/>
              <w:jc w:val="center"/>
            </w:pPr>
            <w:r w:rsidRPr="00B65403">
              <w:rPr>
                <w:sz w:val="14"/>
                <w:szCs w:val="14"/>
              </w:rPr>
              <w:t xml:space="preserve">1.776 </w:t>
            </w:r>
            <w:proofErr w:type="spellStart"/>
            <w:r w:rsidRPr="00B65403">
              <w:rPr>
                <w:sz w:val="14"/>
                <w:szCs w:val="14"/>
              </w:rPr>
              <w:t>kW</w:t>
            </w:r>
            <w:proofErr w:type="spellEnd"/>
          </w:p>
          <w:p w14:paraId="667D7646" w14:textId="77777777" w:rsidR="00E025A7" w:rsidRPr="00B65403" w:rsidRDefault="00000000">
            <w:pPr>
              <w:spacing w:after="0" w:line="240" w:lineRule="auto"/>
              <w:jc w:val="center"/>
            </w:pPr>
            <w:r w:rsidRPr="00B65403">
              <w:rPr>
                <w:b/>
                <w:bCs/>
                <w:sz w:val="14"/>
                <w:szCs w:val="14"/>
              </w:rPr>
              <w:t>17%</w:t>
            </w:r>
          </w:p>
        </w:tc>
      </w:tr>
      <w:tr w:rsidR="00E025A7" w14:paraId="7CD95593" w14:textId="77777777">
        <w:trPr>
          <w:cantSplit/>
          <w:jc w:val="center"/>
        </w:trPr>
        <w:tc>
          <w:tcPr>
            <w:tcW w:w="1000" w:type="dxa"/>
            <w:shd w:val="clear" w:color="auto" w:fill="EFEFEF"/>
            <w:tcMar>
              <w:top w:w="40" w:type="dxa"/>
              <w:left w:w="40" w:type="dxa"/>
              <w:bottom w:w="40" w:type="dxa"/>
              <w:right w:w="40" w:type="dxa"/>
            </w:tcMar>
            <w:vAlign w:val="center"/>
          </w:tcPr>
          <w:p w14:paraId="0EFB48A2" w14:textId="77777777" w:rsidR="00E025A7" w:rsidRPr="00B65403" w:rsidRDefault="00000000">
            <w:pPr>
              <w:spacing w:after="0" w:line="240" w:lineRule="auto"/>
              <w:jc w:val="center"/>
            </w:pPr>
            <w:proofErr w:type="spellStart"/>
            <w:r w:rsidRPr="00B65403">
              <w:rPr>
                <w:b/>
                <w:bCs/>
                <w:sz w:val="14"/>
                <w:szCs w:val="14"/>
              </w:rPr>
              <w:t>RoRo</w:t>
            </w:r>
            <w:proofErr w:type="spellEnd"/>
          </w:p>
        </w:tc>
        <w:tc>
          <w:tcPr>
            <w:tcW w:w="900" w:type="dxa"/>
            <w:shd w:val="clear" w:color="auto" w:fill="EFEFEF"/>
            <w:tcMar>
              <w:top w:w="40" w:type="dxa"/>
              <w:left w:w="40" w:type="dxa"/>
              <w:bottom w:w="40" w:type="dxa"/>
              <w:right w:w="40" w:type="dxa"/>
            </w:tcMar>
            <w:vAlign w:val="center"/>
          </w:tcPr>
          <w:p w14:paraId="591E3535" w14:textId="77777777" w:rsidR="00E025A7" w:rsidRPr="00B65403" w:rsidRDefault="00000000">
            <w:pPr>
              <w:spacing w:after="0" w:line="240" w:lineRule="auto"/>
              <w:jc w:val="center"/>
            </w:pPr>
            <w:r w:rsidRPr="00B65403">
              <w:rPr>
                <w:b/>
                <w:bCs/>
                <w:sz w:val="14"/>
                <w:szCs w:val="14"/>
              </w:rPr>
              <w:t>Μήκος 150 m</w:t>
            </w:r>
          </w:p>
        </w:tc>
        <w:tc>
          <w:tcPr>
            <w:tcW w:w="748" w:type="dxa"/>
            <w:shd w:val="clear" w:color="auto" w:fill="F7EFE4"/>
            <w:tcMar>
              <w:top w:w="40" w:type="dxa"/>
              <w:left w:w="40" w:type="dxa"/>
              <w:bottom w:w="40" w:type="dxa"/>
              <w:right w:w="40" w:type="dxa"/>
            </w:tcMar>
            <w:vAlign w:val="center"/>
          </w:tcPr>
          <w:p w14:paraId="76EC2198" w14:textId="77777777" w:rsidR="00E025A7" w:rsidRPr="00B65403" w:rsidRDefault="00000000">
            <w:pPr>
              <w:spacing w:after="0" w:line="240" w:lineRule="auto"/>
              <w:jc w:val="center"/>
            </w:pPr>
            <w:r w:rsidRPr="00B65403">
              <w:rPr>
                <w:sz w:val="14"/>
                <w:szCs w:val="14"/>
              </w:rPr>
              <w:t xml:space="preserve">114 </w:t>
            </w:r>
            <w:proofErr w:type="spellStart"/>
            <w:r w:rsidRPr="00B65403">
              <w:rPr>
                <w:sz w:val="14"/>
                <w:szCs w:val="14"/>
              </w:rPr>
              <w:t>kW</w:t>
            </w:r>
            <w:proofErr w:type="spellEnd"/>
          </w:p>
          <w:p w14:paraId="5BD1C146" w14:textId="77777777" w:rsidR="00E025A7" w:rsidRPr="00B65403" w:rsidRDefault="00000000">
            <w:pPr>
              <w:spacing w:after="0" w:line="240" w:lineRule="auto"/>
              <w:jc w:val="center"/>
            </w:pPr>
            <w:r w:rsidRPr="00B65403">
              <w:rPr>
                <w:b/>
                <w:bCs/>
                <w:sz w:val="14"/>
                <w:szCs w:val="14"/>
              </w:rPr>
              <w:t>7%</w:t>
            </w:r>
          </w:p>
        </w:tc>
        <w:tc>
          <w:tcPr>
            <w:tcW w:w="748" w:type="dxa"/>
            <w:shd w:val="clear" w:color="auto" w:fill="F7EFE4"/>
            <w:tcMar>
              <w:top w:w="40" w:type="dxa"/>
              <w:left w:w="40" w:type="dxa"/>
              <w:bottom w:w="40" w:type="dxa"/>
              <w:right w:w="40" w:type="dxa"/>
            </w:tcMar>
            <w:vAlign w:val="center"/>
          </w:tcPr>
          <w:p w14:paraId="18F07A6A" w14:textId="77777777" w:rsidR="00E025A7" w:rsidRPr="00B65403" w:rsidRDefault="00000000">
            <w:pPr>
              <w:spacing w:after="0" w:line="240" w:lineRule="auto"/>
              <w:jc w:val="center"/>
            </w:pPr>
            <w:r w:rsidRPr="00B65403">
              <w:rPr>
                <w:sz w:val="14"/>
                <w:szCs w:val="14"/>
              </w:rPr>
              <w:t xml:space="preserve">227 </w:t>
            </w:r>
            <w:proofErr w:type="spellStart"/>
            <w:r w:rsidRPr="00B65403">
              <w:rPr>
                <w:sz w:val="14"/>
                <w:szCs w:val="14"/>
              </w:rPr>
              <w:t>kW</w:t>
            </w:r>
            <w:proofErr w:type="spellEnd"/>
          </w:p>
          <w:p w14:paraId="5C950222" w14:textId="77777777" w:rsidR="00E025A7" w:rsidRPr="00B65403" w:rsidRDefault="00000000">
            <w:pPr>
              <w:spacing w:after="0" w:line="240" w:lineRule="auto"/>
              <w:jc w:val="center"/>
            </w:pPr>
            <w:r w:rsidRPr="00B65403">
              <w:rPr>
                <w:b/>
                <w:bCs/>
                <w:sz w:val="14"/>
                <w:szCs w:val="14"/>
              </w:rPr>
              <w:t>14%</w:t>
            </w:r>
          </w:p>
        </w:tc>
        <w:tc>
          <w:tcPr>
            <w:tcW w:w="748" w:type="dxa"/>
            <w:shd w:val="clear" w:color="auto" w:fill="F7EFE4"/>
            <w:tcMar>
              <w:top w:w="40" w:type="dxa"/>
              <w:left w:w="40" w:type="dxa"/>
              <w:bottom w:w="40" w:type="dxa"/>
              <w:right w:w="40" w:type="dxa"/>
            </w:tcMar>
            <w:vAlign w:val="center"/>
          </w:tcPr>
          <w:p w14:paraId="5B7FB315" w14:textId="77777777" w:rsidR="00E025A7" w:rsidRPr="00B65403" w:rsidRDefault="00000000">
            <w:pPr>
              <w:spacing w:after="0" w:line="240" w:lineRule="auto"/>
              <w:jc w:val="center"/>
            </w:pPr>
            <w:r w:rsidRPr="00B65403">
              <w:rPr>
                <w:sz w:val="14"/>
                <w:szCs w:val="14"/>
              </w:rPr>
              <w:t xml:space="preserve">341 </w:t>
            </w:r>
            <w:proofErr w:type="spellStart"/>
            <w:r w:rsidRPr="00B65403">
              <w:rPr>
                <w:sz w:val="14"/>
                <w:szCs w:val="14"/>
              </w:rPr>
              <w:t>kW</w:t>
            </w:r>
            <w:proofErr w:type="spellEnd"/>
          </w:p>
          <w:p w14:paraId="4D061993" w14:textId="77777777" w:rsidR="00E025A7" w:rsidRPr="00B65403" w:rsidRDefault="00000000">
            <w:pPr>
              <w:spacing w:after="0" w:line="240" w:lineRule="auto"/>
              <w:jc w:val="center"/>
            </w:pPr>
            <w:r w:rsidRPr="00B65403">
              <w:rPr>
                <w:b/>
                <w:bCs/>
                <w:sz w:val="14"/>
                <w:szCs w:val="14"/>
              </w:rPr>
              <w:t>21%</w:t>
            </w:r>
          </w:p>
        </w:tc>
        <w:tc>
          <w:tcPr>
            <w:tcW w:w="748" w:type="dxa"/>
            <w:shd w:val="clear" w:color="auto" w:fill="E6F0F3"/>
            <w:tcMar>
              <w:top w:w="40" w:type="dxa"/>
              <w:left w:w="40" w:type="dxa"/>
              <w:bottom w:w="40" w:type="dxa"/>
              <w:right w:w="40" w:type="dxa"/>
            </w:tcMar>
            <w:vAlign w:val="center"/>
          </w:tcPr>
          <w:p w14:paraId="7E0FFA49" w14:textId="77777777" w:rsidR="00E025A7" w:rsidRPr="00B65403" w:rsidRDefault="00000000">
            <w:pPr>
              <w:spacing w:after="0" w:line="240" w:lineRule="auto"/>
              <w:jc w:val="center"/>
            </w:pPr>
            <w:r w:rsidRPr="00B65403">
              <w:rPr>
                <w:sz w:val="14"/>
                <w:szCs w:val="14"/>
              </w:rPr>
              <w:t xml:space="preserve">318 </w:t>
            </w:r>
            <w:proofErr w:type="spellStart"/>
            <w:r w:rsidRPr="00B65403">
              <w:rPr>
                <w:sz w:val="14"/>
                <w:szCs w:val="14"/>
              </w:rPr>
              <w:t>kW</w:t>
            </w:r>
            <w:proofErr w:type="spellEnd"/>
          </w:p>
          <w:p w14:paraId="4601B336" w14:textId="77777777" w:rsidR="00E025A7" w:rsidRPr="00B65403" w:rsidRDefault="00000000">
            <w:pPr>
              <w:spacing w:after="0" w:line="240" w:lineRule="auto"/>
              <w:jc w:val="center"/>
            </w:pPr>
            <w:r w:rsidRPr="00B65403">
              <w:rPr>
                <w:b/>
                <w:bCs/>
                <w:sz w:val="14"/>
                <w:szCs w:val="14"/>
              </w:rPr>
              <w:t>19%</w:t>
            </w:r>
          </w:p>
        </w:tc>
        <w:tc>
          <w:tcPr>
            <w:tcW w:w="748" w:type="dxa"/>
            <w:shd w:val="clear" w:color="auto" w:fill="E6F0F3"/>
            <w:tcMar>
              <w:top w:w="40" w:type="dxa"/>
              <w:left w:w="40" w:type="dxa"/>
              <w:bottom w:w="40" w:type="dxa"/>
              <w:right w:w="40" w:type="dxa"/>
            </w:tcMar>
            <w:vAlign w:val="center"/>
          </w:tcPr>
          <w:p w14:paraId="4A44FFA6" w14:textId="77777777" w:rsidR="00E025A7" w:rsidRPr="00B65403" w:rsidRDefault="00000000">
            <w:pPr>
              <w:spacing w:after="0" w:line="240" w:lineRule="auto"/>
              <w:jc w:val="center"/>
            </w:pPr>
            <w:r w:rsidRPr="00B65403">
              <w:rPr>
                <w:sz w:val="14"/>
                <w:szCs w:val="14"/>
              </w:rPr>
              <w:t xml:space="preserve">635 </w:t>
            </w:r>
            <w:proofErr w:type="spellStart"/>
            <w:r w:rsidRPr="00B65403">
              <w:rPr>
                <w:sz w:val="14"/>
                <w:szCs w:val="14"/>
              </w:rPr>
              <w:t>kW</w:t>
            </w:r>
            <w:proofErr w:type="spellEnd"/>
          </w:p>
          <w:p w14:paraId="541065C2" w14:textId="77777777" w:rsidR="00E025A7" w:rsidRPr="00B65403" w:rsidRDefault="00000000">
            <w:pPr>
              <w:spacing w:after="0" w:line="240" w:lineRule="auto"/>
              <w:jc w:val="center"/>
            </w:pPr>
            <w:r w:rsidRPr="00B65403">
              <w:rPr>
                <w:b/>
                <w:bCs/>
                <w:sz w:val="14"/>
                <w:szCs w:val="14"/>
              </w:rPr>
              <w:t>38%</w:t>
            </w:r>
          </w:p>
        </w:tc>
        <w:tc>
          <w:tcPr>
            <w:tcW w:w="748" w:type="dxa"/>
            <w:shd w:val="clear" w:color="auto" w:fill="E6F0F3"/>
            <w:tcMar>
              <w:top w:w="40" w:type="dxa"/>
              <w:left w:w="40" w:type="dxa"/>
              <w:bottom w:w="40" w:type="dxa"/>
              <w:right w:w="40" w:type="dxa"/>
            </w:tcMar>
            <w:vAlign w:val="center"/>
          </w:tcPr>
          <w:p w14:paraId="141CB73E" w14:textId="77777777" w:rsidR="00E025A7" w:rsidRPr="00B65403" w:rsidRDefault="00000000">
            <w:pPr>
              <w:spacing w:after="0" w:line="240" w:lineRule="auto"/>
              <w:jc w:val="center"/>
            </w:pPr>
            <w:r w:rsidRPr="00B65403">
              <w:rPr>
                <w:sz w:val="14"/>
                <w:szCs w:val="14"/>
              </w:rPr>
              <w:t xml:space="preserve">953 </w:t>
            </w:r>
            <w:proofErr w:type="spellStart"/>
            <w:r w:rsidRPr="00B65403">
              <w:rPr>
                <w:sz w:val="14"/>
                <w:szCs w:val="14"/>
              </w:rPr>
              <w:t>kW</w:t>
            </w:r>
            <w:proofErr w:type="spellEnd"/>
          </w:p>
          <w:p w14:paraId="2CAE915A" w14:textId="77777777" w:rsidR="00E025A7" w:rsidRPr="00B65403" w:rsidRDefault="00000000">
            <w:pPr>
              <w:spacing w:after="0" w:line="240" w:lineRule="auto"/>
              <w:jc w:val="center"/>
            </w:pPr>
            <w:r w:rsidRPr="00B65403">
              <w:rPr>
                <w:b/>
                <w:bCs/>
                <w:sz w:val="14"/>
                <w:szCs w:val="14"/>
              </w:rPr>
              <w:t>57%</w:t>
            </w:r>
          </w:p>
        </w:tc>
        <w:tc>
          <w:tcPr>
            <w:tcW w:w="748" w:type="dxa"/>
            <w:shd w:val="clear" w:color="auto" w:fill="D5E6EC"/>
            <w:tcMar>
              <w:top w:w="40" w:type="dxa"/>
              <w:left w:w="40" w:type="dxa"/>
              <w:bottom w:w="40" w:type="dxa"/>
              <w:right w:w="40" w:type="dxa"/>
            </w:tcMar>
            <w:vAlign w:val="center"/>
          </w:tcPr>
          <w:p w14:paraId="400AFCA4" w14:textId="77777777" w:rsidR="00E025A7" w:rsidRPr="00B65403" w:rsidRDefault="00000000">
            <w:pPr>
              <w:spacing w:after="0" w:line="240" w:lineRule="auto"/>
              <w:jc w:val="center"/>
            </w:pPr>
            <w:r w:rsidRPr="00B65403">
              <w:rPr>
                <w:sz w:val="14"/>
                <w:szCs w:val="14"/>
              </w:rPr>
              <w:t xml:space="preserve">600 </w:t>
            </w:r>
            <w:proofErr w:type="spellStart"/>
            <w:r w:rsidRPr="00B65403">
              <w:rPr>
                <w:sz w:val="14"/>
                <w:szCs w:val="14"/>
              </w:rPr>
              <w:t>kW</w:t>
            </w:r>
            <w:proofErr w:type="spellEnd"/>
          </w:p>
          <w:p w14:paraId="008AFC58" w14:textId="77777777" w:rsidR="00E025A7" w:rsidRPr="00B65403" w:rsidRDefault="00000000">
            <w:pPr>
              <w:spacing w:after="0" w:line="240" w:lineRule="auto"/>
              <w:jc w:val="center"/>
            </w:pPr>
            <w:r w:rsidRPr="00B65403">
              <w:rPr>
                <w:b/>
                <w:bCs/>
                <w:sz w:val="14"/>
                <w:szCs w:val="14"/>
              </w:rPr>
              <w:t>36%</w:t>
            </w:r>
          </w:p>
        </w:tc>
        <w:tc>
          <w:tcPr>
            <w:tcW w:w="748" w:type="dxa"/>
            <w:shd w:val="clear" w:color="auto" w:fill="D5E6EC"/>
            <w:tcMar>
              <w:top w:w="40" w:type="dxa"/>
              <w:left w:w="40" w:type="dxa"/>
              <w:bottom w:w="40" w:type="dxa"/>
              <w:right w:w="40" w:type="dxa"/>
            </w:tcMar>
            <w:vAlign w:val="center"/>
          </w:tcPr>
          <w:p w14:paraId="6EFF6A7F" w14:textId="77777777" w:rsidR="00E025A7" w:rsidRPr="00B65403" w:rsidRDefault="00000000">
            <w:pPr>
              <w:spacing w:after="0" w:line="240" w:lineRule="auto"/>
              <w:jc w:val="center"/>
            </w:pPr>
            <w:r w:rsidRPr="00B65403">
              <w:rPr>
                <w:sz w:val="14"/>
                <w:szCs w:val="14"/>
              </w:rPr>
              <w:t xml:space="preserve">1.200 </w:t>
            </w:r>
            <w:proofErr w:type="spellStart"/>
            <w:r w:rsidRPr="00B65403">
              <w:rPr>
                <w:sz w:val="14"/>
                <w:szCs w:val="14"/>
              </w:rPr>
              <w:t>kW</w:t>
            </w:r>
            <w:proofErr w:type="spellEnd"/>
          </w:p>
          <w:p w14:paraId="57A5829F" w14:textId="77777777" w:rsidR="00E025A7" w:rsidRPr="00B65403" w:rsidRDefault="00000000">
            <w:pPr>
              <w:spacing w:after="0" w:line="240" w:lineRule="auto"/>
              <w:jc w:val="center"/>
            </w:pPr>
            <w:r w:rsidRPr="00B65403">
              <w:rPr>
                <w:b/>
                <w:bCs/>
                <w:sz w:val="14"/>
                <w:szCs w:val="14"/>
              </w:rPr>
              <w:t>72%</w:t>
            </w:r>
          </w:p>
        </w:tc>
        <w:tc>
          <w:tcPr>
            <w:tcW w:w="748" w:type="dxa"/>
            <w:shd w:val="clear" w:color="auto" w:fill="D5E6EC"/>
            <w:tcMar>
              <w:top w:w="40" w:type="dxa"/>
              <w:left w:w="40" w:type="dxa"/>
              <w:bottom w:w="40" w:type="dxa"/>
              <w:right w:w="40" w:type="dxa"/>
            </w:tcMar>
            <w:vAlign w:val="center"/>
          </w:tcPr>
          <w:p w14:paraId="0390F624" w14:textId="77777777" w:rsidR="00E025A7" w:rsidRPr="00B65403" w:rsidRDefault="00000000">
            <w:pPr>
              <w:spacing w:after="0" w:line="240" w:lineRule="auto"/>
              <w:jc w:val="center"/>
            </w:pPr>
            <w:r w:rsidRPr="00B65403">
              <w:rPr>
                <w:sz w:val="14"/>
                <w:szCs w:val="14"/>
              </w:rPr>
              <w:t xml:space="preserve">1.800 </w:t>
            </w:r>
            <w:proofErr w:type="spellStart"/>
            <w:r w:rsidRPr="00B65403">
              <w:rPr>
                <w:sz w:val="14"/>
                <w:szCs w:val="14"/>
              </w:rPr>
              <w:t>kW</w:t>
            </w:r>
            <w:proofErr w:type="spellEnd"/>
          </w:p>
          <w:p w14:paraId="6B3F7787" w14:textId="77777777" w:rsidR="00E025A7" w:rsidRPr="00B65403" w:rsidRDefault="00000000">
            <w:pPr>
              <w:spacing w:after="0" w:line="240" w:lineRule="auto"/>
              <w:jc w:val="center"/>
            </w:pPr>
            <w:r w:rsidRPr="00B65403">
              <w:rPr>
                <w:b/>
                <w:bCs/>
                <w:sz w:val="14"/>
                <w:szCs w:val="14"/>
              </w:rPr>
              <w:t>&gt;100%</w:t>
            </w:r>
          </w:p>
        </w:tc>
      </w:tr>
    </w:tbl>
    <w:p w14:paraId="38B4D905" w14:textId="77777777" w:rsidR="00E025A7" w:rsidRPr="00650732" w:rsidRDefault="00000000">
      <w:pPr>
        <w:spacing w:before="60" w:after="200" w:line="240" w:lineRule="auto"/>
        <w:jc w:val="both"/>
      </w:pPr>
      <w:r w:rsidRPr="00650732">
        <w:rPr>
          <w:i/>
          <w:iCs/>
          <w:sz w:val="18"/>
          <w:szCs w:val="18"/>
        </w:rPr>
        <w:t>Πηγή: DNV [</w:t>
      </w:r>
      <w:r w:rsidRPr="00650732">
        <w:rPr>
          <w:i/>
          <w:iCs/>
          <w:sz w:val="18"/>
          <w:szCs w:val="18"/>
        </w:rPr>
        <w:fldChar w:fldCharType="begin"/>
      </w:r>
      <w:r w:rsidRPr="00650732">
        <w:rPr>
          <w:i/>
          <w:iCs/>
          <w:sz w:val="18"/>
          <w:szCs w:val="18"/>
        </w:rPr>
        <w:instrText xml:space="preserve"> REF _Ref_cit_74 \h \* MERGEFORMAT </w:instrText>
      </w:r>
      <w:r w:rsidRPr="00650732">
        <w:rPr>
          <w:i/>
          <w:iCs/>
          <w:sz w:val="18"/>
          <w:szCs w:val="18"/>
        </w:rPr>
      </w:r>
      <w:r w:rsidRPr="00650732">
        <w:rPr>
          <w:i/>
          <w:iCs/>
          <w:sz w:val="18"/>
          <w:szCs w:val="18"/>
        </w:rPr>
        <w:fldChar w:fldCharType="separate"/>
      </w:r>
      <w:r w:rsidRPr="00650732">
        <w:rPr>
          <w:i/>
          <w:iCs/>
          <w:sz w:val="18"/>
          <w:szCs w:val="18"/>
        </w:rPr>
        <w:t>74</w:t>
      </w:r>
      <w:r w:rsidRPr="00650732">
        <w:rPr>
          <w:i/>
          <w:iCs/>
          <w:sz w:val="18"/>
          <w:szCs w:val="18"/>
        </w:rPr>
        <w:fldChar w:fldCharType="end"/>
      </w:r>
      <w:r w:rsidRPr="00650732">
        <w:rPr>
          <w:i/>
          <w:iCs/>
          <w:sz w:val="18"/>
          <w:szCs w:val="18"/>
        </w:rPr>
        <w:t>], Πίνακας 4-1. Οι τιμές παρατίθενται όπως δημοσιεύονται, με ελληνική απόδοση των επικεφαλίδων και των ονομασιών από τον συγγραφέα.</w:t>
      </w:r>
    </w:p>
    <w:p w14:paraId="0CF66EF5" w14:textId="13F6BAAE" w:rsidR="00E025A7" w:rsidRPr="00650732" w:rsidRDefault="00650732">
      <w:pPr>
        <w:spacing w:line="360" w:lineRule="auto"/>
        <w:ind w:firstLine="576"/>
        <w:jc w:val="both"/>
      </w:pPr>
      <w:r>
        <w:lastRenderedPageBreak/>
        <w:t xml:space="preserve">Ο </w:t>
      </w:r>
      <w:r w:rsidRPr="00650732">
        <w:rPr>
          <w:b/>
          <w:bCs/>
        </w:rPr>
        <w:fldChar w:fldCharType="begin"/>
      </w:r>
      <w:r w:rsidRPr="00650732">
        <w:rPr>
          <w:b/>
          <w:bCs/>
        </w:rPr>
        <w:instrText xml:space="preserve"> REF _Ref_dnv_tab_1 \h \* MERGEFORMAT </w:instrText>
      </w:r>
      <w:r w:rsidRPr="00650732">
        <w:rPr>
          <w:b/>
          <w:bCs/>
        </w:rPr>
      </w:r>
      <w:r w:rsidRPr="00650732">
        <w:rPr>
          <w:b/>
          <w:bCs/>
        </w:rPr>
        <w:fldChar w:fldCharType="separate"/>
      </w:r>
      <w:r w:rsidRPr="00650732">
        <w:rPr>
          <w:b/>
          <w:bCs/>
        </w:rPr>
        <w:t>Πίνακας 9</w:t>
      </w:r>
      <w:r w:rsidRPr="00650732">
        <w:rPr>
          <w:b/>
          <w:bCs/>
        </w:rPr>
        <w:fldChar w:fldCharType="end"/>
      </w:r>
      <w:r w:rsidRPr="00650732">
        <w:t xml:space="preserve"> δίνει, για κάθε τύπο και μέγεθος πλοίου, την ισοδύναμη ισχύ ώσης του συστήματος WAPS σε </w:t>
      </w:r>
      <w:proofErr w:type="spellStart"/>
      <w:r w:rsidRPr="00650732">
        <w:t>kW</w:t>
      </w:r>
      <w:proofErr w:type="spellEnd"/>
      <w:r w:rsidRPr="00650732">
        <w:t xml:space="preserve"> και, από κάτω, το ποσοστό της ισχύος πρόωσης που αυτή αντιστοιχεί, δηλαδή την εκτιμώμενη εξοικονόμηση καυσίμου. Οι υπολογισμοί της DNV αφορούν σταθερή ταχύτητα εξυπηρέτησης 12 κόμβων, τρία μεγέθη εγκατάστασης (μικρό, μεσαίο, μεγάλο) και τρεις περιοχές πλεύσης (τροπική, μέση ωκεάνια και υψηλά γεωγραφικά πλάτη). Η μέθοδος είναι πρόβλεψη ενός βαθμού ελευθερίας που απαιτεί λίγα δεδομένα εισόδου, δηλαδή τις κύριες διαστάσεις, την εγκατεστημένη ισχύ πρόωσης, την ταχύτητα και την τεχνολογία WAPS, και συγκρίνει την ισοδύναμη ισχύ ώσης με την ισχύ πρόωσης υπό συνθήκες λειτουργίας [</w:t>
      </w:r>
      <w:r w:rsidRPr="00650732">
        <w:fldChar w:fldCharType="begin"/>
      </w:r>
      <w:r w:rsidRPr="00650732">
        <w:instrText xml:space="preserve"> REF _Ref_cit_74 \h \* MERGEFORMAT </w:instrText>
      </w:r>
      <w:r w:rsidRPr="00650732">
        <w:fldChar w:fldCharType="separate"/>
      </w:r>
      <w:r w:rsidRPr="00650732">
        <w:t>74</w:t>
      </w:r>
      <w:r w:rsidRPr="00650732">
        <w:fldChar w:fldCharType="end"/>
      </w:r>
      <w:r w:rsidRPr="00650732">
        <w:t>].</w:t>
      </w:r>
    </w:p>
    <w:p w14:paraId="650B742F" w14:textId="77777777" w:rsidR="00E025A7" w:rsidRPr="00650732" w:rsidRDefault="00000000">
      <w:pPr>
        <w:spacing w:line="360" w:lineRule="auto"/>
        <w:ind w:firstLine="576"/>
        <w:jc w:val="both"/>
      </w:pPr>
      <w:r w:rsidRPr="00650732">
        <w:t xml:space="preserve">Από τον πίνακα προκύπτουν τρεις παρατηρήσεις. Πρώτον, για δεδομένο μέγεθος συστήματος και περιοχή, η ισχύς ώσης είναι σχεδόν ίδια σε όλους τους τύπους πλοίων (105–114 </w:t>
      </w:r>
      <w:proofErr w:type="spellStart"/>
      <w:r w:rsidRPr="00650732">
        <w:t>kW</w:t>
      </w:r>
      <w:proofErr w:type="spellEnd"/>
      <w:r w:rsidRPr="00650732">
        <w:t xml:space="preserve"> για μικρή εγκατάσταση στην τροπική περιοχή). Οι διαφορές στο ποσοστό οφείλονται επομένως στην ισχύ πρόωσης κάθε πλοίου και όχι στο σύστημα: στην ωκεάνια περιοχή το </w:t>
      </w:r>
      <w:proofErr w:type="spellStart"/>
      <w:r w:rsidRPr="00650732">
        <w:t>RoRo</w:t>
      </w:r>
      <w:proofErr w:type="spellEnd"/>
      <w:r w:rsidRPr="00650732">
        <w:t xml:space="preserve"> μήκους 150 m φτάνει 19–57%, τα φορτηγά χύδην ξηρού φορτίου 4–21% και τα δεξαμενόπλοια 3–23%, ενώ το </w:t>
      </w:r>
      <w:proofErr w:type="spellStart"/>
      <w:r w:rsidRPr="00650732">
        <w:t>Capesize</w:t>
      </w:r>
      <w:proofErr w:type="spellEnd"/>
      <w:r w:rsidRPr="00650732">
        <w:t xml:space="preserve">, με τη μεγαλύτερη ισχύ πρόωσης, περιορίζεται σε 4–13%. Δεύτερον, η εξοικονόμηση αυξάνεται με το μέγεθος της εγκατάστασης και με την ένταση του ανέμου της περιοχής: για ένα </w:t>
      </w:r>
      <w:proofErr w:type="spellStart"/>
      <w:r w:rsidRPr="00650732">
        <w:t>Handysize</w:t>
      </w:r>
      <w:proofErr w:type="spellEnd"/>
      <w:r w:rsidRPr="00650732">
        <w:t xml:space="preserve"> αυξάνεται από 3–8% στην τροπική περιοχή σε 7–21% στην ωκεάνια και σε 11–34% στα υψηλά γεωγραφικά πλάτη, και για το </w:t>
      </w:r>
      <w:proofErr w:type="spellStart"/>
      <w:r w:rsidRPr="00650732">
        <w:t>RoRo</w:t>
      </w:r>
      <w:proofErr w:type="spellEnd"/>
      <w:r w:rsidRPr="00650732">
        <w:t xml:space="preserve"> στα υψηλά γεωγραφικά πλάτη το μεγάλο σύστημα υπερβαίνει το 100% της απαιτούμενης ισχύος. Τρίτον, οι τιμές των περιοχών τροπικής και ωκεάνιας είναι της ίδιας τάξης μεγέθους με την εξοικονόμηση που έχει αναφερθεί σε πλοία σε λειτουργία (</w:t>
      </w:r>
      <w:r w:rsidRPr="00093A23">
        <w:rPr>
          <w:b/>
          <w:bCs/>
        </w:rPr>
        <w:t>Πίνακας 8</w:t>
      </w:r>
      <w:r w:rsidRPr="00650732">
        <w:t>).</w:t>
      </w:r>
    </w:p>
    <w:p w14:paraId="03751E59" w14:textId="77777777" w:rsidR="00E025A7" w:rsidRDefault="00000000">
      <w:pPr>
        <w:spacing w:line="360" w:lineRule="auto"/>
        <w:ind w:firstLine="576"/>
        <w:jc w:val="both"/>
      </w:pPr>
      <w:r w:rsidRPr="00650732">
        <w:t>Η μέθοδος περιλαμβάνει απλοποιήσεις, οι οποίες την καθιστούν κατάλληλη για εκτίμηση σε πρώιμο στάδιο μιας επιχειρηματικής μελέτης: λαμβάνεται υπόψη μόνο η ώση προς τα εμπρός, η ισχύς ώσης βασίζεται στον μέσο άνεμο κάθε περιοχής και όχι σε συγκεκριμένη διαδρομή, δεν περιλαμβάνεται η αλληλεπίδραση μεταξύ των μονάδων, ώστε δύο μονάδες να δίνουν διπλάσια ώση από μία, και εξετάζεται μόνο η ισχύς πρόωσης της κύριας μηχανής κατά τον πλου [</w:t>
      </w:r>
      <w:r w:rsidRPr="00650732">
        <w:fldChar w:fldCharType="begin"/>
      </w:r>
      <w:r w:rsidRPr="00650732">
        <w:instrText xml:space="preserve"> REF _Ref_cit_74 \h \* MERGEFORMAT </w:instrText>
      </w:r>
      <w:r w:rsidRPr="00650732">
        <w:fldChar w:fldCharType="separate"/>
      </w:r>
      <w:r w:rsidRPr="00650732">
        <w:t>74</w:t>
      </w:r>
      <w:r w:rsidRPr="00650732">
        <w:fldChar w:fldCharType="end"/>
      </w:r>
      <w:r w:rsidRPr="00650732">
        <w:t>]. Ο πίνακας παρέχει έτσι μια κοινή βάση σύγκρισης ανά τύπο πλοίου, την οποία η ανάλυση των επόμενων ενοτήτων συνδέει με το οικονομικό και κανονιστικό πλαίσιο.</w:t>
      </w:r>
    </w:p>
    <w:p w14:paraId="62E3B40B" w14:textId="77777777" w:rsidR="00DE3C3C" w:rsidRDefault="003C7DFB">
      <w:pPr>
        <w:pStyle w:val="20"/>
      </w:pPr>
      <w:bookmarkStart w:id="173" w:name="_Toc243355336"/>
      <w:r>
        <w:lastRenderedPageBreak/>
        <w:t>Κόστος, τιμές καυσίμων και εμπόδια στην υιοθέτηση των WAPS</w:t>
      </w:r>
      <w:bookmarkEnd w:id="173"/>
    </w:p>
    <w:p w14:paraId="547EFEF5" w14:textId="77777777" w:rsidR="00DE3C3C" w:rsidRDefault="003C7DFB">
      <w:pPr>
        <w:spacing w:line="360" w:lineRule="auto"/>
        <w:ind w:firstLine="576"/>
        <w:jc w:val="both"/>
      </w:pPr>
      <w:r>
        <w:t>Η εξοικονόμηση που συζητήθηκε στην προηγούμενη ενότητα μετατρέπεται σε χρηματοοικονομική αξία μέσω των τιμών του καυσίμου και του άνθρακα, και η ταμειακή ροή που προκύπτει συγκρίνεται με ένα κόστος επένδυσης το οποίο είναι μόνο εν μέρει δημόσια γνωστό. Ακόμη και όταν το χρηματοοικονομικό σκεπτικό είναι θετικό, η υιοθέτηση εξαρτάται από οργανωτικούς παράγοντες που καθορίζουν ποιος πληρώνει την επένδυση και ποιος επωφελείται από αυτήν. Η ενότητα αυτή εξετάζει τα στοιχεία για τη μεταβλητότητα των τιμών καυσίμων και των ναυλαγορών, για την ευαισθησία της ταχύτητας των πλοίων στις τιμές καυσίμων, για το κόστος επένδυσης και την αποπληρωμή των WAPS, καθώς και για τους κινητήριους παράγοντες και τα εμπόδια που εντοπίζουν οι εμπλεκόμενοι φορείς του κλάδου.</w:t>
      </w:r>
    </w:p>
    <w:p w14:paraId="2707EB9A" w14:textId="3CBB919D" w:rsidR="00DE3C3C" w:rsidRDefault="003C7DFB">
      <w:pPr>
        <w:pStyle w:val="30"/>
      </w:pPr>
      <w:bookmarkStart w:id="174" w:name="_Toc243355337"/>
      <w:r>
        <w:t>Τιμές καυσίμων, να</w:t>
      </w:r>
      <w:r w:rsidR="00AB570D">
        <w:t>ύλα</w:t>
      </w:r>
      <w:r>
        <w:t xml:space="preserve"> και μεταβλητότητα</w:t>
      </w:r>
      <w:bookmarkEnd w:id="174"/>
    </w:p>
    <w:p w14:paraId="75E62A50" w14:textId="4E7B6B48" w:rsidR="00DE3C3C" w:rsidRDefault="003C7DFB">
      <w:pPr>
        <w:spacing w:line="360" w:lineRule="auto"/>
        <w:ind w:firstLine="576"/>
        <w:jc w:val="both"/>
      </w:pPr>
      <w:r>
        <w:t xml:space="preserve">Το καύσιμο αποτελεί το μεγαλύτερο μεταβλητό κόστος ενός πλοίου: οι </w:t>
      </w:r>
      <w:proofErr w:type="spellStart"/>
      <w:r>
        <w:t>Perera</w:t>
      </w:r>
      <w:proofErr w:type="spellEnd"/>
      <w:r>
        <w:t xml:space="preserve"> και </w:t>
      </w:r>
      <w:proofErr w:type="spellStart"/>
      <w:r>
        <w:t>Mo</w:t>
      </w:r>
      <w:proofErr w:type="spellEnd"/>
      <w:r>
        <w:t xml:space="preserve"> αναφέρουν 35 έως 70% του λειτουργικού κόστους [</w:t>
      </w:r>
      <w:r>
        <w:fldChar w:fldCharType="begin"/>
      </w:r>
      <w:r>
        <w:instrText xml:space="preserve"> REF _Ref_cit_11 \h \* MERGEFORMAT </w:instrText>
      </w:r>
      <w:r>
        <w:fldChar w:fldCharType="separate"/>
      </w:r>
      <w:r w:rsidR="00B0043E" w:rsidRPr="00B0043E">
        <w:t>11</w:t>
      </w:r>
      <w:r>
        <w:fldChar w:fldCharType="end"/>
      </w:r>
      <w:r>
        <w:t xml:space="preserve">] και οι </w:t>
      </w:r>
      <w:proofErr w:type="spellStart"/>
      <w:r>
        <w:t>Ollila</w:t>
      </w:r>
      <w:proofErr w:type="spellEnd"/>
      <w:r>
        <w:t xml:space="preserve"> </w:t>
      </w:r>
      <w:proofErr w:type="spellStart"/>
      <w:r>
        <w:t>et</w:t>
      </w:r>
      <w:proofErr w:type="spellEnd"/>
      <w:r>
        <w:t xml:space="preserve"> </w:t>
      </w:r>
      <w:proofErr w:type="spellStart"/>
      <w:r>
        <w:t>al</w:t>
      </w:r>
      <w:proofErr w:type="spellEnd"/>
      <w:r>
        <w:t>. 40 έως 67% του συνολικού κόστους μεταφοράς [</w:t>
      </w:r>
      <w:r>
        <w:fldChar w:fldCharType="begin"/>
      </w:r>
      <w:r>
        <w:instrText xml:space="preserve"> REF _Ref_cit_33 \h \* MERGEFORMAT </w:instrText>
      </w:r>
      <w:r>
        <w:fldChar w:fldCharType="separate"/>
      </w:r>
      <w:r w:rsidR="00B0043E" w:rsidRPr="00B0043E">
        <w:t>33</w:t>
      </w:r>
      <w:r>
        <w:fldChar w:fldCharType="end"/>
      </w:r>
      <w:r>
        <w:t xml:space="preserve">], οπότε η αξία μιας τεχνολογίας εξοικονόμησης καυσίμου είναι ιδιαίτερα εκτεθειμένη στον κίνδυνο τιμής του καυσίμου. Οι </w:t>
      </w:r>
      <w:proofErr w:type="spellStart"/>
      <w:r>
        <w:t>Theodorou</w:t>
      </w:r>
      <w:proofErr w:type="spellEnd"/>
      <w:r>
        <w:t xml:space="preserve"> και </w:t>
      </w:r>
      <w:proofErr w:type="spellStart"/>
      <w:r>
        <w:t>Litina</w:t>
      </w:r>
      <w:proofErr w:type="spellEnd"/>
      <w:r>
        <w:t>, σε μεταπτυχιακή διατριβή που πρέπει να αντιμετωπίζεται ως γκρίζα βιβλιογραφία, αναφέρουν ότι την 1η Ιανουαρίου 2020 η μέση τιμή του μαζούτ πολύ χαμηλής περιεκτικότητας σε θείο (VLSFO) στους 20 μεγαλύτερους λιμένες εφοδιασμού ήταν 674</w:t>
      </w:r>
      <w:r w:rsidR="00346ADE">
        <w:t>,</w:t>
      </w:r>
      <w:r>
        <w:t>75</w:t>
      </w:r>
      <w:r w:rsidR="00346ADE">
        <w:t xml:space="preserve"> USD</w:t>
      </w:r>
      <w:r>
        <w:t xml:space="preserve"> ανά τόνο, έναντι 364</w:t>
      </w:r>
      <w:r w:rsidR="00346ADE">
        <w:t xml:space="preserve"> USD</w:t>
      </w:r>
      <w:r>
        <w:t xml:space="preserve"> για το μαζούτ υψηλής περιεκτικότητας σε θείο, και ότι οι τι</w:t>
      </w:r>
      <w:r w:rsidR="00346ADE">
        <w:t>μ</w:t>
      </w:r>
      <w:r>
        <w:t>ές μειώθηκαν κατά 58 έως 70% μέσα σε λίγους μήνες από την εκδήλωση της πανδημίας [</w:t>
      </w:r>
      <w:r>
        <w:fldChar w:fldCharType="begin"/>
      </w:r>
      <w:r>
        <w:instrText xml:space="preserve"> REF _Ref_cit_31 \h \* MERGEFORMAT </w:instrText>
      </w:r>
      <w:r>
        <w:fldChar w:fldCharType="separate"/>
      </w:r>
      <w:r w:rsidR="00B0043E" w:rsidRPr="00B0043E">
        <w:t>31</w:t>
      </w:r>
      <w:r>
        <w:fldChar w:fldCharType="end"/>
      </w:r>
      <w:r>
        <w:t>].</w:t>
      </w:r>
    </w:p>
    <w:p w14:paraId="19F2482F" w14:textId="6C9CC8D1" w:rsidR="00DE3C3C" w:rsidRDefault="003C7DFB">
      <w:pPr>
        <w:spacing w:line="360" w:lineRule="auto"/>
        <w:ind w:firstLine="576"/>
        <w:jc w:val="both"/>
      </w:pPr>
      <w:r>
        <w:t xml:space="preserve">Οι ναυλαγορές προσθέτουν ένα δεύτερο επίπεδο μεταβλητότητας. Η UNCTAD αναφέρει ότι ο δείκτης </w:t>
      </w:r>
      <w:proofErr w:type="spellStart"/>
      <w:r>
        <w:t>Shanghai</w:t>
      </w:r>
      <w:proofErr w:type="spellEnd"/>
      <w:r>
        <w:t xml:space="preserve"> </w:t>
      </w:r>
      <w:proofErr w:type="spellStart"/>
      <w:r>
        <w:t>Containerized</w:t>
      </w:r>
      <w:proofErr w:type="spellEnd"/>
      <w:r>
        <w:t xml:space="preserve"> </w:t>
      </w:r>
      <w:proofErr w:type="spellStart"/>
      <w:r>
        <w:t>Freight</w:t>
      </w:r>
      <w:proofErr w:type="spellEnd"/>
      <w:r>
        <w:t xml:space="preserve"> </w:t>
      </w:r>
      <w:proofErr w:type="spellStart"/>
      <w:r>
        <w:t>Index</w:t>
      </w:r>
      <w:proofErr w:type="spellEnd"/>
      <w:r>
        <w:t xml:space="preserve"> </w:t>
      </w:r>
      <w:r w:rsidR="0006402A">
        <w:t>(</w:t>
      </w:r>
      <w:r w:rsidR="0006402A">
        <w:rPr>
          <w:lang w:val="en-US"/>
        </w:rPr>
        <w:t>SCFI</w:t>
      </w:r>
      <w:r w:rsidR="0006402A" w:rsidRPr="0006402A">
        <w:t xml:space="preserve">) </w:t>
      </w:r>
      <w:r>
        <w:t>κυμάνθηκε κατά μέσο όρο στις 2</w:t>
      </w:r>
      <w:r w:rsidR="0006402A">
        <w:t>,</w:t>
      </w:r>
      <w:r>
        <w:t xml:space="preserve">496 μονάδες το 2024, 149% υψηλότερα από το 2023, και ότι το μίσθωμα ναύλωσης ενός έτους για φορτηγό πλοίο χύδην ξηρού φορτίου </w:t>
      </w:r>
      <w:proofErr w:type="spellStart"/>
      <w:r>
        <w:t>Capesize</w:t>
      </w:r>
      <w:proofErr w:type="spellEnd"/>
      <w:r>
        <w:t xml:space="preserve"> ανήλθε κατά μέσο όρο σε 22</w:t>
      </w:r>
      <w:r w:rsidR="0006402A">
        <w:t>.</w:t>
      </w:r>
      <w:r>
        <w:t>953</w:t>
      </w:r>
      <w:r w:rsidR="0006402A">
        <w:t xml:space="preserve"> USD</w:t>
      </w:r>
      <w:r>
        <w:t xml:space="preserve"> ημερησίως το 2024, έναντι 16</w:t>
      </w:r>
      <w:r w:rsidR="0006402A">
        <w:t>.</w:t>
      </w:r>
      <w:r>
        <w:t>389</w:t>
      </w:r>
      <w:r w:rsidR="0006402A">
        <w:t xml:space="preserve"> USD</w:t>
      </w:r>
      <w:r>
        <w:t xml:space="preserve"> το 2023, πριν τα έσοδα </w:t>
      </w:r>
      <w:r w:rsidR="0006402A">
        <w:t>τ</w:t>
      </w:r>
      <w:r>
        <w:t>ων πλοίων ξηρού φορτίου μειωθούν κατά περίπου 30% το πρώτο εξάμηνο του 2025 [</w:t>
      </w:r>
      <w:r>
        <w:fldChar w:fldCharType="begin"/>
      </w:r>
      <w:r>
        <w:instrText xml:space="preserve"> REF _Ref_cit_1 \h \* MERGEFORMAT </w:instrText>
      </w:r>
      <w:r>
        <w:fldChar w:fldCharType="separate"/>
      </w:r>
      <w:r w:rsidR="00B0043E" w:rsidRPr="00B0043E">
        <w:t>1</w:t>
      </w:r>
      <w:r>
        <w:fldChar w:fldCharType="end"/>
      </w:r>
      <w:r>
        <w:t xml:space="preserve">]. Οι </w:t>
      </w:r>
      <w:proofErr w:type="spellStart"/>
      <w:r>
        <w:t>Theodorou</w:t>
      </w:r>
      <w:proofErr w:type="spellEnd"/>
      <w:r>
        <w:t xml:space="preserve"> και </w:t>
      </w:r>
      <w:proofErr w:type="spellStart"/>
      <w:r>
        <w:t>Litina</w:t>
      </w:r>
      <w:proofErr w:type="spellEnd"/>
      <w:r>
        <w:t xml:space="preserve"> αναφέρουν ότι μετά την εκτροπή των πλοίων γύρω από το Ακρωτήριο τον Δεκέμβριο του 2023, η οποία πρόσθεσε 10 έως 14 ημέρες στο ταξίδι, ο ναύλος</w:t>
      </w:r>
      <w:r w:rsidR="00C76560">
        <w:t xml:space="preserve"> </w:t>
      </w:r>
      <w:r>
        <w:t xml:space="preserve">μεταξύ Σαγκάης και Ευρώπης αυξήθηκε κατά 80%, σε </w:t>
      </w:r>
      <w:r>
        <w:lastRenderedPageBreak/>
        <w:t>2</w:t>
      </w:r>
      <w:r w:rsidR="00C76560">
        <w:t>.</w:t>
      </w:r>
      <w:r>
        <w:t>694</w:t>
      </w:r>
      <w:r w:rsidR="00C76560">
        <w:t xml:space="preserve"> USD</w:t>
      </w:r>
      <w:r>
        <w:t xml:space="preserve"> ανά εμπορευματοκιβώτιο [</w:t>
      </w:r>
      <w:r>
        <w:fldChar w:fldCharType="begin"/>
      </w:r>
      <w:r>
        <w:instrText xml:space="preserve"> REF _Ref_cit_31 \h \* MERGEFORMAT </w:instrText>
      </w:r>
      <w:r>
        <w:fldChar w:fldCharType="separate"/>
      </w:r>
      <w:r w:rsidR="00B0043E" w:rsidRPr="00B0043E">
        <w:t>31</w:t>
      </w:r>
      <w:r>
        <w:fldChar w:fldCharType="end"/>
      </w:r>
      <w:r>
        <w:t xml:space="preserve">]. </w:t>
      </w:r>
      <w:r w:rsidR="00C76560">
        <w:t>Ο</w:t>
      </w:r>
      <w:r>
        <w:t xml:space="preserve">ι </w:t>
      </w:r>
      <w:proofErr w:type="spellStart"/>
      <w:r>
        <w:t>Lam</w:t>
      </w:r>
      <w:proofErr w:type="spellEnd"/>
      <w:r>
        <w:t xml:space="preserve"> </w:t>
      </w:r>
      <w:proofErr w:type="spellStart"/>
      <w:r>
        <w:t>et</w:t>
      </w:r>
      <w:proofErr w:type="spellEnd"/>
      <w:r>
        <w:t xml:space="preserve"> </w:t>
      </w:r>
      <w:proofErr w:type="spellStart"/>
      <w:r>
        <w:t>al</w:t>
      </w:r>
      <w:proofErr w:type="spellEnd"/>
      <w:r>
        <w:t>., σε μελέτη τριάντα ετών για τον λιμένα της Σιγκαπούρης, διαπιστώνουν ότι η αγορά ξηρού φορτίου είναι η πιο ευμετάβλητη, ακολουθούμενη από τα δεξαμενόπλοια και τα πλοία μεταφοράς εμπορευματοκιβωτίων, με διακυμάνσεις της μηνιαίας ποσοστιαίας μεταβολής των ναύλων 0</w:t>
      </w:r>
      <w:r w:rsidR="00C76560">
        <w:t>,</w:t>
      </w:r>
      <w:r>
        <w:t>112</w:t>
      </w:r>
      <w:r w:rsidR="00C76560">
        <w:t xml:space="preserve"> </w:t>
      </w:r>
      <w:r>
        <w:t>, 0</w:t>
      </w:r>
      <w:r w:rsidR="00C76560">
        <w:t>,</w:t>
      </w:r>
      <w:r>
        <w:t>035 και 0</w:t>
      </w:r>
      <w:r w:rsidR="00C76560">
        <w:t>,</w:t>
      </w:r>
      <w:r>
        <w:t>025 αντίστοιχα [</w:t>
      </w:r>
      <w:r>
        <w:fldChar w:fldCharType="begin"/>
      </w:r>
      <w:r>
        <w:instrText xml:space="preserve"> REF _Ref_cit_30 \h \* MERGEFORMAT </w:instrText>
      </w:r>
      <w:r>
        <w:fldChar w:fldCharType="separate"/>
      </w:r>
      <w:r w:rsidR="00B0043E" w:rsidRPr="00B0043E">
        <w:t>30</w:t>
      </w:r>
      <w:r>
        <w:fldChar w:fldCharType="end"/>
      </w:r>
      <w:r>
        <w:t xml:space="preserve">]. Δεδομένου ότι τα φορτηγά πλοία χύδην ξηρού φορτίου και τα δεξαμενόπλοια είναι επίσης οι τομείς που ενδείκνυνται περισσότερο για WAPS, τα πλοία με το </w:t>
      </w:r>
      <w:r w:rsidR="003856D8">
        <w:t>ι</w:t>
      </w:r>
      <w:r w:rsidR="003856D8" w:rsidRPr="003856D8">
        <w:t xml:space="preserve">σχυρότερη τεχνική </w:t>
      </w:r>
      <w:proofErr w:type="spellStart"/>
      <w:r w:rsidR="003856D8">
        <w:t>υποστηριξη</w:t>
      </w:r>
      <w:proofErr w:type="spellEnd"/>
      <w:r w:rsidR="003856D8" w:rsidRPr="003856D8">
        <w:t xml:space="preserve"> </w:t>
      </w:r>
      <w:r>
        <w:t xml:space="preserve">δραστηριοποιούνται στις αγορές με τα πιο αβέβαια έσοδα, αν και τα δεδομένα των </w:t>
      </w:r>
      <w:proofErr w:type="spellStart"/>
      <w:r>
        <w:t>Lam</w:t>
      </w:r>
      <w:proofErr w:type="spellEnd"/>
      <w:r>
        <w:t xml:space="preserve"> </w:t>
      </w:r>
      <w:proofErr w:type="spellStart"/>
      <w:r>
        <w:t>et</w:t>
      </w:r>
      <w:proofErr w:type="spellEnd"/>
      <w:r>
        <w:t xml:space="preserve"> </w:t>
      </w:r>
      <w:proofErr w:type="spellStart"/>
      <w:r>
        <w:t>al</w:t>
      </w:r>
      <w:proofErr w:type="spellEnd"/>
      <w:r>
        <w:t>. αφορούν έναν μόνο λιμένα και ενδέχεται να μην αντιπροσωπεύουν τις παγκόσμιες τάσεις [</w:t>
      </w:r>
      <w:r>
        <w:fldChar w:fldCharType="begin"/>
      </w:r>
      <w:r>
        <w:instrText xml:space="preserve"> REF _Ref_cit_30 \h \* MERGEFORMAT </w:instrText>
      </w:r>
      <w:r>
        <w:fldChar w:fldCharType="separate"/>
      </w:r>
      <w:r w:rsidR="00B0043E" w:rsidRPr="00B0043E">
        <w:t>30</w:t>
      </w:r>
      <w:r>
        <w:fldChar w:fldCharType="end"/>
      </w:r>
      <w:r>
        <w:t>].</w:t>
      </w:r>
    </w:p>
    <w:p w14:paraId="7EC7F622" w14:textId="6FE150E8" w:rsidR="00DE3C3C" w:rsidRDefault="00FA6493">
      <w:pPr>
        <w:pStyle w:val="30"/>
      </w:pPr>
      <w:bookmarkStart w:id="175" w:name="_Toc243355338"/>
      <w:r>
        <w:t>Σχέση</w:t>
      </w:r>
      <w:r w:rsidR="003C7DFB">
        <w:t xml:space="preserve"> της ταχύτητας των πλοίων </w:t>
      </w:r>
      <w:r>
        <w:t xml:space="preserve">με </w:t>
      </w:r>
      <w:r w:rsidR="003C7DFB">
        <w:t>τις τιμές καυσίμων</w:t>
      </w:r>
      <w:bookmarkEnd w:id="175"/>
    </w:p>
    <w:p w14:paraId="583A65FE" w14:textId="13A11DF5" w:rsidR="00DE3C3C" w:rsidRDefault="003C7DFB">
      <w:pPr>
        <w:spacing w:line="360" w:lineRule="auto"/>
        <w:ind w:firstLine="576"/>
        <w:jc w:val="both"/>
      </w:pPr>
      <w:r>
        <w:t xml:space="preserve">Οι </w:t>
      </w:r>
      <w:proofErr w:type="spellStart"/>
      <w:r>
        <w:t>Ollila</w:t>
      </w:r>
      <w:proofErr w:type="spellEnd"/>
      <w:r>
        <w:t xml:space="preserve"> </w:t>
      </w:r>
      <w:proofErr w:type="spellStart"/>
      <w:r>
        <w:t>et</w:t>
      </w:r>
      <w:proofErr w:type="spellEnd"/>
      <w:r>
        <w:t xml:space="preserve"> </w:t>
      </w:r>
      <w:proofErr w:type="spellStart"/>
      <w:r>
        <w:t>al</w:t>
      </w:r>
      <w:proofErr w:type="spellEnd"/>
      <w:r>
        <w:t>. εκτίμησαν την ελαστικότητα της ταχύτητας πλεύσης ως προς την τιμή του καυσίμου για πλοία γενικού φορτίου στη ναυτιλία μικρών αποστάσεων της Βαλτικής και της Νορβηγίας, χρησιμοποιώντας δεδομένα AIS από το 2007 έως το 2018 και τ</w:t>
      </w:r>
      <w:r w:rsidR="00B93B5B">
        <w:t>ις</w:t>
      </w:r>
      <w:r>
        <w:t xml:space="preserve"> </w:t>
      </w:r>
      <w:r w:rsidR="006A49C8">
        <w:t>διακ</w:t>
      </w:r>
      <w:r w:rsidR="00B93B5B">
        <w:t>υ</w:t>
      </w:r>
      <w:r w:rsidR="006A49C8">
        <w:t xml:space="preserve">μάνσεις </w:t>
      </w:r>
      <w:r>
        <w:t>της προσφοράς πετρελαίου ως βοηθητική μεταβλητή [</w:t>
      </w:r>
      <w:r>
        <w:fldChar w:fldCharType="begin"/>
      </w:r>
      <w:r>
        <w:instrText xml:space="preserve"> REF _Ref_cit_33 \h \* MERGEFORMAT </w:instrText>
      </w:r>
      <w:r>
        <w:fldChar w:fldCharType="separate"/>
      </w:r>
      <w:r w:rsidR="00B0043E" w:rsidRPr="00B0043E">
        <w:t>33</w:t>
      </w:r>
      <w:r>
        <w:fldChar w:fldCharType="end"/>
      </w:r>
      <w:r>
        <w:t>]. Η προτιμώμενη εκτίμησή τους είναι −0</w:t>
      </w:r>
      <w:r w:rsidR="00B93B5B">
        <w:t>,</w:t>
      </w:r>
      <w:r>
        <w:t>08 (εύρος −0</w:t>
      </w:r>
      <w:r w:rsidR="00B93B5B">
        <w:t>,</w:t>
      </w:r>
      <w:r>
        <w:t>012 έως −0</w:t>
      </w:r>
      <w:r w:rsidR="00B93B5B">
        <w:t>,</w:t>
      </w:r>
      <w:r>
        <w:t>14): μια αύξηση 10% των τιμών καυσίμου μειώνει την ταχύτητα κατά περίπου 0</w:t>
      </w:r>
      <w:r w:rsidR="00B634E6">
        <w:t>,</w:t>
      </w:r>
      <w:r>
        <w:t>8% και, με κυβική σχέση ταχύτητας–ισχύος, την ωριαία κατανάλωση καυσίμου κατά περίπου 2%. Η τιμή αυτή είναι πολύ χαμηλότερη από τη θεωρητική τιμή −0</w:t>
      </w:r>
      <w:r w:rsidR="00B634E6">
        <w:t>,</w:t>
      </w:r>
      <w:r>
        <w:t>5 ενός πλοιοκτήτη που ελαχιστοποιεί το κόστος, γεγονός που οι συγγραφείς αποδίδουν στις συμβατικές ρυθμίσεις, στην αξία του φορτίου και στα διαχωρισμένα κίνητρα (</w:t>
      </w:r>
      <w:proofErr w:type="spellStart"/>
      <w:r>
        <w:t>split</w:t>
      </w:r>
      <w:proofErr w:type="spellEnd"/>
      <w:r>
        <w:t xml:space="preserve"> </w:t>
      </w:r>
      <w:proofErr w:type="spellStart"/>
      <w:r>
        <w:t>incentives</w:t>
      </w:r>
      <w:proofErr w:type="spellEnd"/>
      <w:r>
        <w:t>) στις ναυλώσεις ταξιδιού [</w:t>
      </w:r>
      <w:r>
        <w:fldChar w:fldCharType="begin"/>
      </w:r>
      <w:r>
        <w:instrText xml:space="preserve"> REF _Ref_cit_33 \h \* MERGEFORMAT </w:instrText>
      </w:r>
      <w:r>
        <w:fldChar w:fldCharType="separate"/>
      </w:r>
      <w:r w:rsidR="00B0043E" w:rsidRPr="00B0043E">
        <w:t>33</w:t>
      </w:r>
      <w:r>
        <w:fldChar w:fldCharType="end"/>
      </w:r>
      <w:r>
        <w:t>]. Οι πλοιοκτήτες αντιδρούν επομένως μόνο ασθενώς στις τιμές των καυσίμων, γεγονός που αποτελεί επιχείρημα υπέρ μιας ρύθμισης που τιμολογεί τον άνθρακα, ενώ μια αξιολόγηση WAPS πρέπει να δηλώνει ρητά την υποτιθέμενη ταχύτητα, καθώς η εξοικονόμηση που αναφέρεται για σταθερή ταχύτητα διαφέρει από εκείνη για ταχύτητα που προσαρμόζεται στ</w:t>
      </w:r>
      <w:r w:rsidR="00B634E6">
        <w:t xml:space="preserve">ην </w:t>
      </w:r>
      <w:r>
        <w:t xml:space="preserve">τιμή. Οι </w:t>
      </w:r>
      <w:proofErr w:type="spellStart"/>
      <w:r>
        <w:t>Nawaz</w:t>
      </w:r>
      <w:proofErr w:type="spellEnd"/>
      <w:r>
        <w:t xml:space="preserve"> </w:t>
      </w:r>
      <w:proofErr w:type="spellStart"/>
      <w:r>
        <w:t>et</w:t>
      </w:r>
      <w:proofErr w:type="spellEnd"/>
      <w:r>
        <w:t xml:space="preserve"> </w:t>
      </w:r>
      <w:proofErr w:type="spellStart"/>
      <w:r>
        <w:t>al</w:t>
      </w:r>
      <w:proofErr w:type="spellEnd"/>
      <w:r>
        <w:t>. προσθέτουν ότι η αβεβαιότητα της κλιματικής και της οικονομικής πολιτικής επηρεάζει τη δυναμική των τιμών των ορυκτών καυσίμων σε διαφορετικούς χρονικούς ορίζοντες [</w:t>
      </w:r>
      <w:r>
        <w:fldChar w:fldCharType="begin"/>
      </w:r>
      <w:r>
        <w:instrText xml:space="preserve"> REF _Ref_cit_32 \h \* MERGEFORMAT </w:instrText>
      </w:r>
      <w:r>
        <w:fldChar w:fldCharType="separate"/>
      </w:r>
      <w:r w:rsidR="00B0043E" w:rsidRPr="00B0043E">
        <w:t>32</w:t>
      </w:r>
      <w:r>
        <w:fldChar w:fldCharType="end"/>
      </w:r>
      <w:r>
        <w:t>], γεγονός που αποτελεί έναν ακόμη λόγο για να αντιμετωπίζονται οι τιμές καυσίμου και άνθρακα ως εύρη τιμών.</w:t>
      </w:r>
    </w:p>
    <w:p w14:paraId="7110EAE6" w14:textId="50DC7D28" w:rsidR="006C4C83" w:rsidRDefault="001A2FEB">
      <w:pPr>
        <w:spacing w:line="360" w:lineRule="auto"/>
        <w:ind w:firstLine="576"/>
        <w:jc w:val="both"/>
      </w:pPr>
      <w:r w:rsidRPr="0093144A">
        <w:t xml:space="preserve">Οι </w:t>
      </w:r>
      <w:proofErr w:type="spellStart"/>
      <w:r w:rsidRPr="0093144A">
        <w:t>Tillig</w:t>
      </w:r>
      <w:proofErr w:type="spellEnd"/>
      <w:r w:rsidRPr="0093144A">
        <w:t xml:space="preserve"> </w:t>
      </w:r>
      <w:proofErr w:type="spellStart"/>
      <w:r w:rsidRPr="0093144A">
        <w:t>et</w:t>
      </w:r>
      <w:proofErr w:type="spellEnd"/>
      <w:r w:rsidRPr="0093144A">
        <w:t xml:space="preserve"> </w:t>
      </w:r>
      <w:proofErr w:type="spellStart"/>
      <w:r w:rsidRPr="0093144A">
        <w:t>al</w:t>
      </w:r>
      <w:proofErr w:type="spellEnd"/>
      <w:r w:rsidRPr="0093144A">
        <w:t>. [</w:t>
      </w:r>
      <w:r w:rsidRPr="0093144A">
        <w:fldChar w:fldCharType="begin"/>
      </w:r>
      <w:r w:rsidRPr="0093144A">
        <w:instrText xml:space="preserve"> REF _Ref_cit_68 \h \* MERGEFORMAT </w:instrText>
      </w:r>
      <w:r w:rsidRPr="0093144A">
        <w:fldChar w:fldCharType="separate"/>
      </w:r>
      <w:r w:rsidR="00B0043E" w:rsidRPr="00B0043E">
        <w:t>68</w:t>
      </w:r>
      <w:r w:rsidRPr="0093144A">
        <w:fldChar w:fldCharType="end"/>
      </w:r>
      <w:r w:rsidRPr="0093144A">
        <w:t>] συνδέουν την</w:t>
      </w:r>
      <w:r w:rsidR="00120304" w:rsidRPr="0093144A">
        <w:t xml:space="preserve"> </w:t>
      </w:r>
      <w:r w:rsidRPr="0093144A">
        <w:t>ταχύτητα</w:t>
      </w:r>
      <w:r w:rsidR="00120304" w:rsidRPr="0093144A">
        <w:t xml:space="preserve"> </w:t>
      </w:r>
      <w:r w:rsidRPr="0093144A">
        <w:t>με την οικονομική αξιολόγηση των WAPS, συνδυάζοντας ένα οικονομικό μοντέλο με ένα ενεργειακό μοντέλο του πλοίου. Στη μελέτη τους, η αύξηση της τιμής του καυσίμου από 300 σε 1</w:t>
      </w:r>
      <w:r w:rsidR="00120304" w:rsidRPr="0093144A">
        <w:t>.</w:t>
      </w:r>
      <w:r w:rsidRPr="0093144A">
        <w:t xml:space="preserve">000 USD ανά τόνο, </w:t>
      </w:r>
      <w:r w:rsidRPr="0093144A">
        <w:lastRenderedPageBreak/>
        <w:t xml:space="preserve">όπως θα </w:t>
      </w:r>
      <w:proofErr w:type="spellStart"/>
      <w:r w:rsidRPr="0093144A">
        <w:t>προέκυπτε</w:t>
      </w:r>
      <w:proofErr w:type="spellEnd"/>
      <w:r w:rsidRPr="0093144A">
        <w:t xml:space="preserve"> π.χ. από ένα τέλος καυσίμου</w:t>
      </w:r>
      <w:r w:rsidR="00120304" w:rsidRPr="0093144A">
        <w:t xml:space="preserve">, </w:t>
      </w:r>
      <w:r w:rsidRPr="0093144A">
        <w:t>οδηγεί τους διαχειριστές να μειώσουν την ταχύτητα για οικονομικούς λόγους, με δυνητική εξοικονόμηση περίπου 21</w:t>
      </w:r>
      <w:r w:rsidR="00A13C44" w:rsidRPr="0093144A">
        <w:t>.</w:t>
      </w:r>
      <w:r w:rsidRPr="0093144A">
        <w:t>300 τόνων καυσίμου ετησίως στο παράδειγμα μιας υπηρεσίας μεταφοράς εμπορευματοκιβωτίων στον Ειρηνικό. Οι υψηλότερες τιμές καυσίμου μπορούν επίσης να δικαιολογήσουν την εγκατάσταση WAPS σε δεξαμενόπλοιο MR στον Βόρειο Ατλαντικό, με εξοικονόμηση έως 500 τόνων καυσίμου ετησίως [</w:t>
      </w:r>
      <w:r w:rsidRPr="0093144A">
        <w:fldChar w:fldCharType="begin"/>
      </w:r>
      <w:r w:rsidRPr="0093144A">
        <w:instrText xml:space="preserve"> REF _Ref_cit_68 \h \* MERGEFORMAT </w:instrText>
      </w:r>
      <w:r w:rsidRPr="0093144A">
        <w:fldChar w:fldCharType="separate"/>
      </w:r>
      <w:r w:rsidR="00B0043E" w:rsidRPr="00B0043E">
        <w:t>68</w:t>
      </w:r>
      <w:r w:rsidRPr="0093144A">
        <w:fldChar w:fldCharType="end"/>
      </w:r>
      <w:r w:rsidRPr="0093144A">
        <w:t xml:space="preserve">]. Η διαπίστωση αυτή συμπληρώνει τα ευρήματα των </w:t>
      </w:r>
      <w:proofErr w:type="spellStart"/>
      <w:r w:rsidRPr="0093144A">
        <w:t>Ollila</w:t>
      </w:r>
      <w:proofErr w:type="spellEnd"/>
      <w:r w:rsidRPr="0093144A">
        <w:t xml:space="preserve"> </w:t>
      </w:r>
      <w:proofErr w:type="spellStart"/>
      <w:r w:rsidRPr="0093144A">
        <w:t>et</w:t>
      </w:r>
      <w:proofErr w:type="spellEnd"/>
      <w:r w:rsidRPr="0093144A">
        <w:t xml:space="preserve"> </w:t>
      </w:r>
      <w:proofErr w:type="spellStart"/>
      <w:r w:rsidRPr="0093144A">
        <w:t>al</w:t>
      </w:r>
      <w:proofErr w:type="spellEnd"/>
      <w:r w:rsidRPr="0093144A">
        <w:t>. [</w:t>
      </w:r>
      <w:r w:rsidRPr="0093144A">
        <w:fldChar w:fldCharType="begin"/>
      </w:r>
      <w:r w:rsidRPr="0093144A">
        <w:instrText xml:space="preserve"> REF _Ref_cit_33 \h \* MERGEFORMAT </w:instrText>
      </w:r>
      <w:r w:rsidRPr="0093144A">
        <w:fldChar w:fldCharType="separate"/>
      </w:r>
      <w:r w:rsidR="00B0043E" w:rsidRPr="00B0043E">
        <w:t>33</w:t>
      </w:r>
      <w:r w:rsidRPr="0093144A">
        <w:fldChar w:fldCharType="end"/>
      </w:r>
      <w:r w:rsidRPr="0093144A">
        <w:t>]: η τιμή του καυσίμου επηρεάζει ταυτόχρονα την ταχύτητα πλεύσης και την οικονομική βιωσιμότητα των WAPS.</w:t>
      </w:r>
    </w:p>
    <w:p w14:paraId="5367B3FD" w14:textId="77777777" w:rsidR="00DE3C3C" w:rsidRDefault="003C7DFB">
      <w:pPr>
        <w:pStyle w:val="30"/>
      </w:pPr>
      <w:bookmarkStart w:id="176" w:name="_Toc243355339"/>
      <w:r>
        <w:t>Κόστος επένδυσης και αποπληρωμή</w:t>
      </w:r>
      <w:bookmarkEnd w:id="176"/>
    </w:p>
    <w:p w14:paraId="4C70CE45" w14:textId="097ADD5A" w:rsidR="00DE3C3C" w:rsidRDefault="003C7DFB">
      <w:pPr>
        <w:spacing w:line="360" w:lineRule="auto"/>
        <w:ind w:firstLine="576"/>
        <w:jc w:val="both"/>
      </w:pPr>
      <w:r>
        <w:t xml:space="preserve">Τα δημόσια δεδομένα για το κόστος των WAPS είναι λιγοστά και αφορούν διαφορετικές τεχνολογίες και αντικείμενα εργασιών. Οι </w:t>
      </w:r>
      <w:proofErr w:type="spellStart"/>
      <w:r>
        <w:t>Carjova</w:t>
      </w:r>
      <w:proofErr w:type="spellEnd"/>
      <w:r>
        <w:t xml:space="preserve"> </w:t>
      </w:r>
      <w:proofErr w:type="spellStart"/>
      <w:r>
        <w:t>et</w:t>
      </w:r>
      <w:proofErr w:type="spellEnd"/>
      <w:r>
        <w:t xml:space="preserve"> </w:t>
      </w:r>
      <w:proofErr w:type="spellStart"/>
      <w:r>
        <w:t>al</w:t>
      </w:r>
      <w:proofErr w:type="spellEnd"/>
      <w:r>
        <w:t>. χρησιμοποιούν 2</w:t>
      </w:r>
      <w:r w:rsidR="000A1499">
        <w:t xml:space="preserve"> </w:t>
      </w:r>
      <w:r>
        <w:t xml:space="preserve"> εκατομμύρια</w:t>
      </w:r>
      <w:r w:rsidR="000A1499" w:rsidRPr="000A1499">
        <w:t xml:space="preserve"> </w:t>
      </w:r>
      <w:r w:rsidR="000A1499">
        <w:t>EUR</w:t>
      </w:r>
      <w:r>
        <w:t xml:space="preserve"> για τους </w:t>
      </w:r>
      <w:proofErr w:type="spellStart"/>
      <w:r>
        <w:t>ρότορες</w:t>
      </w:r>
      <w:proofErr w:type="spellEnd"/>
      <w:r>
        <w:t xml:space="preserve"> ενός φορτηγού πλοίου χύδην ξηρού φορτίου και 0</w:t>
      </w:r>
      <w:r w:rsidR="000A1499">
        <w:t>,</w:t>
      </w:r>
      <w:r>
        <w:t>1 εκατομμύρια</w:t>
      </w:r>
      <w:r w:rsidR="000A1499" w:rsidRPr="000A1499">
        <w:t xml:space="preserve"> </w:t>
      </w:r>
      <w:r w:rsidR="000A1499">
        <w:t>EUR</w:t>
      </w:r>
      <w:r>
        <w:t xml:space="preserve"> για την εγκατάσταση, με τιμή ντίζελ 500</w:t>
      </w:r>
      <w:r w:rsidR="000A1499" w:rsidRPr="000A1499">
        <w:t xml:space="preserve"> </w:t>
      </w:r>
      <w:r w:rsidR="000A1499">
        <w:t>EUR</w:t>
      </w:r>
      <w:r>
        <w:t xml:space="preserve"> ανά τόνο, τιμή άνθρακα 85 </w:t>
      </w:r>
      <w:r w:rsidR="000A1499">
        <w:t xml:space="preserve">EUR </w:t>
      </w:r>
      <w:r>
        <w:t>ανά τόνο, 250 ημέρες στη θάλασσα, κατανάλωση καυσίμου 1</w:t>
      </w:r>
      <w:r w:rsidR="000A1499">
        <w:t xml:space="preserve"> </w:t>
      </w:r>
      <w:r>
        <w:t xml:space="preserve">έως 4 τόνους ανά ώρα και εξοικονόμηση 7%· η προσομοίωση Monte </w:t>
      </w:r>
      <w:proofErr w:type="spellStart"/>
      <w:r>
        <w:t>Carlo</w:t>
      </w:r>
      <w:proofErr w:type="spellEnd"/>
      <w:r>
        <w:t xml:space="preserve"> που εκτελούν δίνει περίοδο αποπληρωμής 3 έως 6 ετών όταν συνυπολογίζεται το κόστος άνθρακα, αλλά περισσότερο από 10 έτη χωρίς κόστος άνθρακα και με εξοικονόμηση 5%, ενώ ορισμένες περιπτώσεις δεν αποπληρώνονται εντός της διάρκειας ζωής των 20 ετών [</w:t>
      </w:r>
      <w:r>
        <w:fldChar w:fldCharType="begin"/>
      </w:r>
      <w:r>
        <w:instrText xml:space="preserve"> REF _Ref_cit_40 \h \* MERGEFORMAT </w:instrText>
      </w:r>
      <w:r>
        <w:fldChar w:fldCharType="separate"/>
      </w:r>
      <w:r w:rsidR="00B0043E" w:rsidRPr="00B0043E">
        <w:t>40</w:t>
      </w:r>
      <w:r>
        <w:fldChar w:fldCharType="end"/>
      </w:r>
      <w:r>
        <w:t xml:space="preserve">]. Οι </w:t>
      </w:r>
      <w:proofErr w:type="spellStart"/>
      <w:r>
        <w:t>Kolodziejski</w:t>
      </w:r>
      <w:proofErr w:type="spellEnd"/>
      <w:r>
        <w:t xml:space="preserve"> και </w:t>
      </w:r>
      <w:proofErr w:type="spellStart"/>
      <w:r>
        <w:t>Sosnowski</w:t>
      </w:r>
      <w:proofErr w:type="spellEnd"/>
      <w:r>
        <w:t xml:space="preserve"> αναφέρουν ότι τα WAPS μπορούν να μειώσουν το κόστος καυσίμου έως και κατά 10% με επένδυση έως 2</w:t>
      </w:r>
      <w:r w:rsidR="000A1499">
        <w:t>,</w:t>
      </w:r>
      <w:r>
        <w:t>5</w:t>
      </w:r>
      <w:r w:rsidR="000A1499">
        <w:t xml:space="preserve"> </w:t>
      </w:r>
      <w:r>
        <w:t>εκατομμύρια</w:t>
      </w:r>
      <w:r w:rsidR="000A1499" w:rsidRPr="000A1499">
        <w:t xml:space="preserve"> </w:t>
      </w:r>
      <w:r w:rsidR="000A1499">
        <w:rPr>
          <w:lang w:val="en-US"/>
        </w:rPr>
        <w:t>USD</w:t>
      </w:r>
      <w:r>
        <w:t xml:space="preserve"> [</w:t>
      </w:r>
      <w:r>
        <w:fldChar w:fldCharType="begin"/>
      </w:r>
      <w:r>
        <w:instrText xml:space="preserve"> REF _Ref_cit_7 \h \* MERGEFORMAT </w:instrText>
      </w:r>
      <w:r>
        <w:fldChar w:fldCharType="separate"/>
      </w:r>
      <w:r w:rsidR="00B0043E" w:rsidRPr="00B0043E">
        <w:t>7</w:t>
      </w:r>
      <w:r>
        <w:fldChar w:fldCharType="end"/>
      </w:r>
      <w:r>
        <w:t xml:space="preserve">], η </w:t>
      </w:r>
      <w:proofErr w:type="spellStart"/>
      <w:r>
        <w:t>Stathopoulou</w:t>
      </w:r>
      <w:proofErr w:type="spellEnd"/>
      <w:r>
        <w:t xml:space="preserve"> υποθέτει περίπου 2</w:t>
      </w:r>
      <w:r w:rsidR="000A1499" w:rsidRPr="000A1499">
        <w:t>,</w:t>
      </w:r>
      <w:r>
        <w:t>6 εκατομμύρια</w:t>
      </w:r>
      <w:r w:rsidR="000A1499" w:rsidRPr="000A1499">
        <w:t xml:space="preserve"> </w:t>
      </w:r>
      <w:r w:rsidR="000A1499">
        <w:t>EUR</w:t>
      </w:r>
      <w:r>
        <w:t xml:space="preserve"> για τέσσερις </w:t>
      </w:r>
      <w:proofErr w:type="spellStart"/>
      <w:r>
        <w:t>ρότορες</w:t>
      </w:r>
      <w:proofErr w:type="spellEnd"/>
      <w:r>
        <w:t xml:space="preserve"> 24 m × 4 m [</w:t>
      </w:r>
      <w:r>
        <w:fldChar w:fldCharType="begin"/>
      </w:r>
      <w:r>
        <w:instrText xml:space="preserve"> REF _Ref_cit_63 \h \* MERGEFORMAT </w:instrText>
      </w:r>
      <w:r>
        <w:fldChar w:fldCharType="separate"/>
      </w:r>
      <w:r w:rsidR="00B0043E" w:rsidRPr="00B0043E">
        <w:t>63</w:t>
      </w:r>
      <w:r>
        <w:fldChar w:fldCharType="end"/>
      </w:r>
      <w:r>
        <w:t xml:space="preserve">], ενώ η </w:t>
      </w:r>
      <w:proofErr w:type="spellStart"/>
      <w:r>
        <w:t>πολυκριτηριακή</w:t>
      </w:r>
      <w:proofErr w:type="spellEnd"/>
      <w:r>
        <w:t xml:space="preserve"> μελέτη των </w:t>
      </w:r>
      <w:proofErr w:type="spellStart"/>
      <w:r>
        <w:t>Peng</w:t>
      </w:r>
      <w:proofErr w:type="spellEnd"/>
      <w:r>
        <w:t xml:space="preserve"> </w:t>
      </w:r>
      <w:proofErr w:type="spellStart"/>
      <w:r>
        <w:t>et</w:t>
      </w:r>
      <w:proofErr w:type="spellEnd"/>
      <w:r>
        <w:t xml:space="preserve"> </w:t>
      </w:r>
      <w:proofErr w:type="spellStart"/>
      <w:r>
        <w:t>al</w:t>
      </w:r>
      <w:proofErr w:type="spellEnd"/>
      <w:r>
        <w:t>. χρησιμοποιεί 4</w:t>
      </w:r>
      <w:r w:rsidR="00BB06D6" w:rsidRPr="00BB06D6">
        <w:t>.</w:t>
      </w:r>
      <w:r>
        <w:t>423</w:t>
      </w:r>
      <w:r w:rsidR="00BB06D6" w:rsidRPr="00BB06D6">
        <w:t xml:space="preserve"> </w:t>
      </w:r>
      <w:r w:rsidR="00BB06D6">
        <w:t>USD</w:t>
      </w:r>
      <w:r>
        <w:t xml:space="preserve"> ανά </w:t>
      </w:r>
      <w:proofErr w:type="spellStart"/>
      <w:r>
        <w:t>kW</w:t>
      </w:r>
      <w:proofErr w:type="spellEnd"/>
      <w:r>
        <w:t>, ετήσιο λειτουργικό κόστος 3</w:t>
      </w:r>
      <w:r w:rsidR="00BB06D6" w:rsidRPr="00BB06D6">
        <w:t>,</w:t>
      </w:r>
      <w:r>
        <w:t>75% του κεφαλαιουχικού κόστους και εξοικονόμηση 5% [</w:t>
      </w:r>
      <w:r>
        <w:fldChar w:fldCharType="begin"/>
      </w:r>
      <w:r>
        <w:instrText xml:space="preserve"> REF _Ref_cit_64 \h \* MERGEFORMAT </w:instrText>
      </w:r>
      <w:r>
        <w:fldChar w:fldCharType="separate"/>
      </w:r>
      <w:r w:rsidR="00B0043E" w:rsidRPr="00B0043E">
        <w:t>64</w:t>
      </w:r>
      <w:r>
        <w:fldChar w:fldCharType="end"/>
      </w:r>
      <w:r>
        <w:t xml:space="preserve">]. Οι τιμές είναι της ίδιας τάξης μεγέθους, από περίπου 2 εκατομμύρια </w:t>
      </w:r>
      <w:r w:rsidR="00253675">
        <w:rPr>
          <w:lang w:val="en-US"/>
        </w:rPr>
        <w:t>EUR</w:t>
      </w:r>
      <w:r w:rsidR="00253675" w:rsidRPr="00253675">
        <w:t xml:space="preserve"> </w:t>
      </w:r>
      <w:r>
        <w:t>έως μερικά εκατομμύρια ευρώ για ένα μεγάλο πλοίο, αλλά δεν περιλαμβάνουν την απώλεια εσόδων λόγω ακινητοποίησης (</w:t>
      </w:r>
      <w:proofErr w:type="spellStart"/>
      <w:r>
        <w:t>off-hire</w:t>
      </w:r>
      <w:proofErr w:type="spellEnd"/>
      <w:r>
        <w:t xml:space="preserve">) κατά την εγκατάσταση ούτε την ενίσχυση του καταστρώματος. Οι </w:t>
      </w:r>
      <w:proofErr w:type="spellStart"/>
      <w:r>
        <w:t>Bentin</w:t>
      </w:r>
      <w:proofErr w:type="spellEnd"/>
      <w:r>
        <w:t xml:space="preserve"> </w:t>
      </w:r>
      <w:proofErr w:type="spellStart"/>
      <w:r>
        <w:t>et</w:t>
      </w:r>
      <w:proofErr w:type="spellEnd"/>
      <w:r>
        <w:t xml:space="preserve"> </w:t>
      </w:r>
      <w:proofErr w:type="spellStart"/>
      <w:r>
        <w:t>al</w:t>
      </w:r>
      <w:proofErr w:type="spellEnd"/>
      <w:r>
        <w:t xml:space="preserve">., όπως παρατίθενται από τους </w:t>
      </w:r>
      <w:proofErr w:type="spellStart"/>
      <w:r>
        <w:t>Carjova</w:t>
      </w:r>
      <w:proofErr w:type="spellEnd"/>
      <w:r>
        <w:t xml:space="preserve"> </w:t>
      </w:r>
      <w:proofErr w:type="spellStart"/>
      <w:r>
        <w:t>et</w:t>
      </w:r>
      <w:proofErr w:type="spellEnd"/>
      <w:r>
        <w:t xml:space="preserve"> </w:t>
      </w:r>
      <w:proofErr w:type="spellStart"/>
      <w:r>
        <w:t>al</w:t>
      </w:r>
      <w:proofErr w:type="spellEnd"/>
      <w:r>
        <w:t>., προτείνουν περίοδο αποπληρωμής 5 ετών για τον καθορισμό της μέγιστης βιώσιμης επένδυσης [</w:t>
      </w:r>
      <w:r>
        <w:fldChar w:fldCharType="begin"/>
      </w:r>
      <w:r>
        <w:instrText xml:space="preserve"> REF _Ref_cit_40 \h \* MERGEFORMAT </w:instrText>
      </w:r>
      <w:r>
        <w:fldChar w:fldCharType="separate"/>
      </w:r>
      <w:r w:rsidR="00B0043E" w:rsidRPr="00B0043E">
        <w:t>40</w:t>
      </w:r>
      <w:r>
        <w:fldChar w:fldCharType="end"/>
      </w:r>
      <w:r>
        <w:t xml:space="preserve">], ενώ η επισκόπηση των </w:t>
      </w:r>
      <w:proofErr w:type="spellStart"/>
      <w:r>
        <w:t>Sakalayen</w:t>
      </w:r>
      <w:proofErr w:type="spellEnd"/>
      <w:r>
        <w:t xml:space="preserve"> </w:t>
      </w:r>
      <w:proofErr w:type="spellStart"/>
      <w:r>
        <w:t>et</w:t>
      </w:r>
      <w:proofErr w:type="spellEnd"/>
      <w:r>
        <w:t xml:space="preserve"> </w:t>
      </w:r>
      <w:proofErr w:type="spellStart"/>
      <w:r>
        <w:t>al</w:t>
      </w:r>
      <w:proofErr w:type="spellEnd"/>
      <w:r>
        <w:t>. κατατάσσει τις περιόδους αποπληρωμής 1 έως 5 ετών ως σύντομες και άνω των 10 ετών ως μακροχρόνιες [</w:t>
      </w:r>
      <w:r>
        <w:fldChar w:fldCharType="begin"/>
      </w:r>
      <w:r>
        <w:instrText xml:space="preserve"> REF _Ref_cit_6 \h \* MERGEFORMAT </w:instrText>
      </w:r>
      <w:r>
        <w:fldChar w:fldCharType="separate"/>
      </w:r>
      <w:r w:rsidR="00B0043E" w:rsidRPr="00B0043E">
        <w:t>6</w:t>
      </w:r>
      <w:r>
        <w:fldChar w:fldCharType="end"/>
      </w:r>
      <w:r>
        <w:t>].</w:t>
      </w:r>
    </w:p>
    <w:p w14:paraId="1EA61359" w14:textId="77777777" w:rsidR="00DE3C3C" w:rsidRDefault="003C7DFB">
      <w:pPr>
        <w:pStyle w:val="30"/>
      </w:pPr>
      <w:bookmarkStart w:id="177" w:name="_Toc243355340"/>
      <w:r>
        <w:t>Κινητήριοι παράγοντες και εμπόδια στην υιοθέτηση</w:t>
      </w:r>
      <w:bookmarkEnd w:id="177"/>
    </w:p>
    <w:p w14:paraId="6440EE7C" w14:textId="39504EDD" w:rsidR="00DE3C3C" w:rsidRDefault="003C7DFB">
      <w:pPr>
        <w:spacing w:line="360" w:lineRule="auto"/>
        <w:ind w:firstLine="576"/>
        <w:jc w:val="both"/>
      </w:pPr>
      <w:r>
        <w:t xml:space="preserve">Η πληρέστερη ανάλυση των οργανωτικών πτυχών της υιοθέτησης είναι εκείνη των </w:t>
      </w:r>
      <w:proofErr w:type="spellStart"/>
      <w:r>
        <w:t>Djoumessi</w:t>
      </w:r>
      <w:proofErr w:type="spellEnd"/>
      <w:r>
        <w:t xml:space="preserve"> </w:t>
      </w:r>
      <w:proofErr w:type="spellStart"/>
      <w:r>
        <w:t>et</w:t>
      </w:r>
      <w:proofErr w:type="spellEnd"/>
      <w:r>
        <w:t xml:space="preserve"> </w:t>
      </w:r>
      <w:proofErr w:type="spellStart"/>
      <w:r>
        <w:t>al</w:t>
      </w:r>
      <w:proofErr w:type="spellEnd"/>
      <w:r>
        <w:t>. [</w:t>
      </w:r>
      <w:r>
        <w:fldChar w:fldCharType="begin"/>
      </w:r>
      <w:r>
        <w:instrText xml:space="preserve"> REF _Ref_cit_34 \h \* MERGEFORMAT </w:instrText>
      </w:r>
      <w:r>
        <w:fldChar w:fldCharType="separate"/>
      </w:r>
      <w:r w:rsidR="00B0043E" w:rsidRPr="00B0043E">
        <w:t>34</w:t>
      </w:r>
      <w:r>
        <w:fldChar w:fldCharType="end"/>
      </w:r>
      <w:r>
        <w:t xml:space="preserve">], οι οποίοι πραγματοποίησαν 14 συνεντεύξεις μεταξύ </w:t>
      </w:r>
      <w:r>
        <w:lastRenderedPageBreak/>
        <w:t>Μαρτίου και Μαΐου 2024 στο πλαίσιο του χρηματοδοτούμενου από την ΕΕ έργου OPTIWISE. Στους συνεντευξιαζόμενους περιλαμβάνονταν πλοιοκτήτες και ναυλωτές, ένας νηογνώμονας, ένας οργανισμός αλληλασφάλισης (P&amp;I</w:t>
      </w:r>
      <w:r w:rsidR="00013739">
        <w:t xml:space="preserve"> </w:t>
      </w:r>
      <w:proofErr w:type="spellStart"/>
      <w:r>
        <w:t>club</w:t>
      </w:r>
      <w:proofErr w:type="spellEnd"/>
      <w:r>
        <w:t xml:space="preserve">), τέσσερις προμηθευτές WAPS ή τεχνολογιών </w:t>
      </w:r>
      <w:proofErr w:type="spellStart"/>
      <w:r>
        <w:t>απανθρακοποίησης</w:t>
      </w:r>
      <w:proofErr w:type="spellEnd"/>
      <w:r>
        <w:t>, δύο λιμενικές αρχές,</w:t>
      </w:r>
      <w:r w:rsidR="00013739">
        <w:t xml:space="preserve"> </w:t>
      </w:r>
      <w:r>
        <w:t>μια εταιρεία συμβούλων, μια εθνική ένωση πλοιοκτητών και ένα ερευνητικό ινστιτούτο. Οι συγγραφείς χρησιμοποίησαν ένα πλαίσιο βασισμένο στη θεωρία συστημάτων για να κατατάξουν τους παράγοντες που ευνοούν την υιοθέτηση σε εξωτερικούς, συνδετικούς και εσωτερικούς κινητήριους παράγοντες, και τους παράγοντες που την εμποδίζουν σε οικονομικά, οργανωτικά</w:t>
      </w:r>
      <w:r w:rsidR="00013739">
        <w:t xml:space="preserve"> </w:t>
      </w:r>
      <w:r>
        <w:t xml:space="preserve">και </w:t>
      </w:r>
      <w:proofErr w:type="spellStart"/>
      <w:r w:rsidR="004E116E" w:rsidRPr="004E116E">
        <w:t>συμπεριφορικά</w:t>
      </w:r>
      <w:proofErr w:type="spellEnd"/>
      <w:r w:rsidR="004E116E" w:rsidRPr="004E116E">
        <w:t xml:space="preserve"> και </w:t>
      </w:r>
      <w:r>
        <w:t xml:space="preserve">τεχνολογικά εμπόδια. Τα κύρια ευρήματα συνοψίζονται στον </w:t>
      </w:r>
      <w:r w:rsidRPr="00013739">
        <w:rPr>
          <w:b/>
          <w:bCs/>
        </w:rPr>
        <w:t xml:space="preserve">Πίνακα </w:t>
      </w:r>
      <w:r w:rsidR="00892803">
        <w:rPr>
          <w:b/>
          <w:bCs/>
        </w:rPr>
        <w:t>10</w:t>
      </w:r>
      <w:r>
        <w:t>. Το δείγμα είναι μικρό και περιλαμβάνει λίγους πλοιοκτήτες, ενώ την κωδικοποίηση των συνεντεύξεων πραγματοποίησε ένας μόνο αναλυτής, οπότε τα ευρήματα είναι ερευνητικά και δεν είναι διαθέσιμη στάθμιση των παραγόντων [</w:t>
      </w:r>
      <w:r>
        <w:fldChar w:fldCharType="begin"/>
      </w:r>
      <w:r>
        <w:instrText xml:space="preserve"> REF _Ref_cit_34 \h \* MERGEFORMAT </w:instrText>
      </w:r>
      <w:r>
        <w:fldChar w:fldCharType="separate"/>
      </w:r>
      <w:r w:rsidR="00B0043E" w:rsidRPr="00B0043E">
        <w:t>34</w:t>
      </w:r>
      <w:r>
        <w:fldChar w:fldCharType="end"/>
      </w:r>
      <w:r>
        <w:t>].</w:t>
      </w:r>
    </w:p>
    <w:p w14:paraId="2A09EAE2" w14:textId="7DFA6E5F" w:rsidR="00DE3C3C" w:rsidRDefault="003C7DFB">
      <w:pPr>
        <w:pStyle w:val="af2"/>
        <w:keepNext/>
        <w:jc w:val="center"/>
        <w:rPr>
          <w:b/>
          <w:bCs/>
          <w:noProof/>
        </w:rPr>
      </w:pPr>
      <w:r>
        <w:rPr>
          <w:b/>
          <w:bCs/>
        </w:rPr>
        <w:t xml:space="preserve">Πίνακας </w:t>
      </w:r>
      <w:r w:rsidR="00E002EC">
        <w:rPr>
          <w:b/>
          <w:bCs/>
        </w:rPr>
        <w:t>10</w:t>
      </w:r>
      <w:r>
        <w:rPr>
          <w:b/>
          <w:bCs/>
        </w:rPr>
        <w:t xml:space="preserve">: Κινητήριοι παράγοντες και εμπόδια στην υιοθέτηση των WAPS που εντοπίστηκαν στη μελέτη συνεντεύξεων των </w:t>
      </w:r>
      <w:proofErr w:type="spellStart"/>
      <w:r>
        <w:rPr>
          <w:b/>
          <w:bCs/>
        </w:rPr>
        <w:t>Djoumessi</w:t>
      </w:r>
      <w:proofErr w:type="spellEnd"/>
      <w:r>
        <w:rPr>
          <w:b/>
          <w:bCs/>
        </w:rPr>
        <w:t xml:space="preserve"> </w:t>
      </w:r>
      <w:proofErr w:type="spellStart"/>
      <w:r>
        <w:rPr>
          <w:b/>
          <w:bCs/>
        </w:rPr>
        <w:t>et</w:t>
      </w:r>
      <w:proofErr w:type="spellEnd"/>
      <w:r>
        <w:rPr>
          <w:b/>
          <w:bCs/>
        </w:rPr>
        <w:t xml:space="preserve"> </w:t>
      </w:r>
      <w:proofErr w:type="spellStart"/>
      <w:r>
        <w:rPr>
          <w:b/>
          <w:bCs/>
        </w:rPr>
        <w:t>al</w:t>
      </w:r>
      <w:proofErr w:type="spellEnd"/>
      <w:r>
        <w:rPr>
          <w:b/>
          <w:bCs/>
        </w:rPr>
        <w:t>.</w:t>
      </w:r>
    </w:p>
    <w:tbl>
      <w:tblPr>
        <w:tblW w:w="8640"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1900"/>
        <w:gridCol w:w="2600"/>
        <w:gridCol w:w="4140"/>
      </w:tblGrid>
      <w:tr w:rsidR="00DE3C3C" w14:paraId="55A2CE8A" w14:textId="77777777">
        <w:trPr>
          <w:cantSplit/>
          <w:tblHeader/>
          <w:jc w:val="center"/>
        </w:trPr>
        <w:tc>
          <w:tcPr>
            <w:tcW w:w="1900" w:type="dxa"/>
            <w:shd w:val="clear" w:color="auto" w:fill="D9D9D9"/>
            <w:tcMar>
              <w:top w:w="60" w:type="dxa"/>
              <w:left w:w="100" w:type="dxa"/>
              <w:bottom w:w="60" w:type="dxa"/>
              <w:right w:w="100" w:type="dxa"/>
            </w:tcMar>
            <w:vAlign w:val="center"/>
          </w:tcPr>
          <w:p w14:paraId="59849FCA" w14:textId="77777777" w:rsidR="00DE3C3C" w:rsidRDefault="003C7DFB" w:rsidP="00535231">
            <w:pPr>
              <w:spacing w:after="0" w:line="240" w:lineRule="auto"/>
              <w:jc w:val="center"/>
              <w:rPr>
                <w:sz w:val="18"/>
                <w:szCs w:val="18"/>
              </w:rPr>
            </w:pPr>
            <w:r>
              <w:rPr>
                <w:b/>
                <w:bCs/>
                <w:sz w:val="18"/>
                <w:szCs w:val="18"/>
              </w:rPr>
              <w:t>Είδος</w:t>
            </w:r>
          </w:p>
        </w:tc>
        <w:tc>
          <w:tcPr>
            <w:tcW w:w="2600" w:type="dxa"/>
            <w:shd w:val="clear" w:color="auto" w:fill="D9D9D9"/>
            <w:tcMar>
              <w:top w:w="60" w:type="dxa"/>
              <w:left w:w="100" w:type="dxa"/>
              <w:bottom w:w="60" w:type="dxa"/>
              <w:right w:w="100" w:type="dxa"/>
            </w:tcMar>
            <w:vAlign w:val="center"/>
          </w:tcPr>
          <w:p w14:paraId="4FF2F15B" w14:textId="77777777" w:rsidR="00DE3C3C" w:rsidRDefault="003C7DFB" w:rsidP="00535231">
            <w:pPr>
              <w:spacing w:after="0" w:line="240" w:lineRule="auto"/>
              <w:jc w:val="center"/>
              <w:rPr>
                <w:sz w:val="18"/>
                <w:szCs w:val="18"/>
              </w:rPr>
            </w:pPr>
            <w:r>
              <w:rPr>
                <w:b/>
                <w:bCs/>
                <w:sz w:val="18"/>
                <w:szCs w:val="18"/>
              </w:rPr>
              <w:t>Παράγοντας</w:t>
            </w:r>
          </w:p>
        </w:tc>
        <w:tc>
          <w:tcPr>
            <w:tcW w:w="4140" w:type="dxa"/>
            <w:shd w:val="clear" w:color="auto" w:fill="D9D9D9"/>
            <w:tcMar>
              <w:top w:w="60" w:type="dxa"/>
              <w:left w:w="100" w:type="dxa"/>
              <w:bottom w:w="60" w:type="dxa"/>
              <w:right w:w="100" w:type="dxa"/>
            </w:tcMar>
            <w:vAlign w:val="center"/>
          </w:tcPr>
          <w:p w14:paraId="36221C42" w14:textId="77777777" w:rsidR="00DE3C3C" w:rsidRDefault="003C7DFB" w:rsidP="00535231">
            <w:pPr>
              <w:spacing w:after="0" w:line="240" w:lineRule="auto"/>
              <w:jc w:val="center"/>
              <w:rPr>
                <w:sz w:val="18"/>
                <w:szCs w:val="18"/>
              </w:rPr>
            </w:pPr>
            <w:r>
              <w:rPr>
                <w:b/>
                <w:bCs/>
                <w:sz w:val="18"/>
                <w:szCs w:val="18"/>
              </w:rPr>
              <w:t>Περιεχόμενο</w:t>
            </w:r>
          </w:p>
        </w:tc>
      </w:tr>
      <w:tr w:rsidR="00DE3C3C" w14:paraId="64560F03" w14:textId="77777777">
        <w:trPr>
          <w:cantSplit/>
          <w:jc w:val="center"/>
        </w:trPr>
        <w:tc>
          <w:tcPr>
            <w:tcW w:w="1900" w:type="dxa"/>
            <w:tcMar>
              <w:top w:w="60" w:type="dxa"/>
              <w:left w:w="100" w:type="dxa"/>
              <w:bottom w:w="60" w:type="dxa"/>
              <w:right w:w="100" w:type="dxa"/>
            </w:tcMar>
            <w:vAlign w:val="center"/>
          </w:tcPr>
          <w:p w14:paraId="61DA77AC" w14:textId="77777777" w:rsidR="00DE3C3C" w:rsidRDefault="003C7DFB" w:rsidP="00535231">
            <w:pPr>
              <w:spacing w:after="0" w:line="240" w:lineRule="auto"/>
              <w:jc w:val="center"/>
              <w:rPr>
                <w:sz w:val="18"/>
                <w:szCs w:val="18"/>
              </w:rPr>
            </w:pPr>
            <w:r>
              <w:rPr>
                <w:sz w:val="18"/>
                <w:szCs w:val="18"/>
              </w:rPr>
              <w:t>Εξωτερικός κινητήριος παράγοντας</w:t>
            </w:r>
          </w:p>
        </w:tc>
        <w:tc>
          <w:tcPr>
            <w:tcW w:w="2600" w:type="dxa"/>
            <w:tcMar>
              <w:top w:w="60" w:type="dxa"/>
              <w:left w:w="100" w:type="dxa"/>
              <w:bottom w:w="60" w:type="dxa"/>
              <w:right w:w="100" w:type="dxa"/>
            </w:tcMar>
            <w:vAlign w:val="center"/>
          </w:tcPr>
          <w:p w14:paraId="152DDEC6" w14:textId="77777777" w:rsidR="00DE3C3C" w:rsidRDefault="003C7DFB" w:rsidP="00535231">
            <w:pPr>
              <w:spacing w:after="0" w:line="240" w:lineRule="auto"/>
              <w:jc w:val="center"/>
              <w:rPr>
                <w:sz w:val="18"/>
                <w:szCs w:val="18"/>
              </w:rPr>
            </w:pPr>
            <w:r>
              <w:rPr>
                <w:sz w:val="18"/>
                <w:szCs w:val="18"/>
              </w:rPr>
              <w:t>Κανονιστικό πλαίσιο</w:t>
            </w:r>
          </w:p>
        </w:tc>
        <w:tc>
          <w:tcPr>
            <w:tcW w:w="4140" w:type="dxa"/>
            <w:tcMar>
              <w:top w:w="60" w:type="dxa"/>
              <w:left w:w="100" w:type="dxa"/>
              <w:bottom w:w="60" w:type="dxa"/>
              <w:right w:w="100" w:type="dxa"/>
            </w:tcMar>
            <w:vAlign w:val="center"/>
          </w:tcPr>
          <w:p w14:paraId="1BC80AE1" w14:textId="77777777" w:rsidR="00DE3C3C" w:rsidRDefault="003C7DFB" w:rsidP="00535231">
            <w:pPr>
              <w:spacing w:after="0" w:line="240" w:lineRule="auto"/>
              <w:jc w:val="center"/>
              <w:rPr>
                <w:sz w:val="18"/>
                <w:szCs w:val="18"/>
              </w:rPr>
            </w:pPr>
            <w:r>
              <w:rPr>
                <w:sz w:val="18"/>
                <w:szCs w:val="18"/>
              </w:rPr>
              <w:t xml:space="preserve">Ο κύριος κινητήριος παράγοντας: μέτρα του IMO και </w:t>
            </w:r>
            <w:proofErr w:type="spellStart"/>
            <w:r>
              <w:rPr>
                <w:sz w:val="18"/>
                <w:szCs w:val="18"/>
              </w:rPr>
              <w:t>FuelEU</w:t>
            </w:r>
            <w:proofErr w:type="spellEnd"/>
            <w:r>
              <w:rPr>
                <w:sz w:val="18"/>
                <w:szCs w:val="18"/>
              </w:rPr>
              <w:t xml:space="preserve"> Maritime· χωρίς ρύθμιση η διείσδυση είναι περιορισμένη όταν οι ναύλοι είναι υψηλοί και το καύσιμο φθηνό</w:t>
            </w:r>
          </w:p>
        </w:tc>
      </w:tr>
      <w:tr w:rsidR="00DE3C3C" w14:paraId="335A6A75" w14:textId="77777777">
        <w:trPr>
          <w:cantSplit/>
          <w:jc w:val="center"/>
        </w:trPr>
        <w:tc>
          <w:tcPr>
            <w:tcW w:w="1900" w:type="dxa"/>
            <w:tcMar>
              <w:top w:w="60" w:type="dxa"/>
              <w:left w:w="100" w:type="dxa"/>
              <w:bottom w:w="60" w:type="dxa"/>
              <w:right w:w="100" w:type="dxa"/>
            </w:tcMar>
            <w:vAlign w:val="center"/>
          </w:tcPr>
          <w:p w14:paraId="548AC58C" w14:textId="77777777" w:rsidR="00DE3C3C" w:rsidRDefault="003C7DFB" w:rsidP="00535231">
            <w:pPr>
              <w:spacing w:after="0" w:line="240" w:lineRule="auto"/>
              <w:jc w:val="center"/>
              <w:rPr>
                <w:sz w:val="18"/>
                <w:szCs w:val="18"/>
              </w:rPr>
            </w:pPr>
            <w:r>
              <w:rPr>
                <w:sz w:val="18"/>
                <w:szCs w:val="18"/>
              </w:rPr>
              <w:t>Εξωτερικός κινητήριος παράγοντας</w:t>
            </w:r>
          </w:p>
        </w:tc>
        <w:tc>
          <w:tcPr>
            <w:tcW w:w="2600" w:type="dxa"/>
            <w:tcMar>
              <w:top w:w="60" w:type="dxa"/>
              <w:left w:w="100" w:type="dxa"/>
              <w:bottom w:w="60" w:type="dxa"/>
              <w:right w:w="100" w:type="dxa"/>
            </w:tcMar>
            <w:vAlign w:val="center"/>
          </w:tcPr>
          <w:p w14:paraId="6AC9756E" w14:textId="77777777" w:rsidR="00DE3C3C" w:rsidRDefault="003C7DFB" w:rsidP="00535231">
            <w:pPr>
              <w:spacing w:after="0" w:line="240" w:lineRule="auto"/>
              <w:jc w:val="center"/>
              <w:rPr>
                <w:sz w:val="18"/>
                <w:szCs w:val="18"/>
              </w:rPr>
            </w:pPr>
            <w:r>
              <w:rPr>
                <w:sz w:val="18"/>
                <w:szCs w:val="18"/>
              </w:rPr>
              <w:t>Αβεβαιότητα για τα εναλλακτικά καύσιμα</w:t>
            </w:r>
          </w:p>
        </w:tc>
        <w:tc>
          <w:tcPr>
            <w:tcW w:w="4140" w:type="dxa"/>
            <w:tcMar>
              <w:top w:w="60" w:type="dxa"/>
              <w:left w:w="100" w:type="dxa"/>
              <w:bottom w:w="60" w:type="dxa"/>
              <w:right w:w="100" w:type="dxa"/>
            </w:tcMar>
            <w:vAlign w:val="center"/>
          </w:tcPr>
          <w:p w14:paraId="4DAAFA8A" w14:textId="77777777" w:rsidR="00DE3C3C" w:rsidRDefault="003C7DFB" w:rsidP="00535231">
            <w:pPr>
              <w:spacing w:after="0" w:line="240" w:lineRule="auto"/>
              <w:jc w:val="center"/>
              <w:rPr>
                <w:sz w:val="18"/>
                <w:szCs w:val="18"/>
              </w:rPr>
            </w:pPr>
            <w:r>
              <w:rPr>
                <w:sz w:val="18"/>
                <w:szCs w:val="18"/>
              </w:rPr>
              <w:t>Η διαθεσιμότητα, ο ανταγωνισμός από άλλους τομείς και οι ανησυχίες για την ασφάλεια οδηγούν τους πλοιοκτήτες να θεωρούν τα WAPS ως ενδιάμεσο μέτρο</w:t>
            </w:r>
          </w:p>
        </w:tc>
      </w:tr>
      <w:tr w:rsidR="00DE3C3C" w14:paraId="2D24072A" w14:textId="77777777">
        <w:trPr>
          <w:cantSplit/>
          <w:jc w:val="center"/>
        </w:trPr>
        <w:tc>
          <w:tcPr>
            <w:tcW w:w="1900" w:type="dxa"/>
            <w:tcMar>
              <w:top w:w="60" w:type="dxa"/>
              <w:left w:w="100" w:type="dxa"/>
              <w:bottom w:w="60" w:type="dxa"/>
              <w:right w:w="100" w:type="dxa"/>
            </w:tcMar>
            <w:vAlign w:val="center"/>
          </w:tcPr>
          <w:p w14:paraId="2EB2DAAE" w14:textId="77777777" w:rsidR="00DE3C3C" w:rsidRDefault="003C7DFB" w:rsidP="00535231">
            <w:pPr>
              <w:spacing w:after="0" w:line="240" w:lineRule="auto"/>
              <w:jc w:val="center"/>
              <w:rPr>
                <w:sz w:val="18"/>
                <w:szCs w:val="18"/>
              </w:rPr>
            </w:pPr>
            <w:r>
              <w:rPr>
                <w:sz w:val="18"/>
                <w:szCs w:val="18"/>
              </w:rPr>
              <w:t>Εξωτερικός κινητήριος παράγοντας</w:t>
            </w:r>
          </w:p>
        </w:tc>
        <w:tc>
          <w:tcPr>
            <w:tcW w:w="2600" w:type="dxa"/>
            <w:tcMar>
              <w:top w:w="60" w:type="dxa"/>
              <w:left w:w="100" w:type="dxa"/>
              <w:bottom w:w="60" w:type="dxa"/>
              <w:right w:w="100" w:type="dxa"/>
            </w:tcMar>
            <w:vAlign w:val="center"/>
          </w:tcPr>
          <w:p w14:paraId="1E7C0653" w14:textId="77777777" w:rsidR="00DE3C3C" w:rsidRDefault="003C7DFB" w:rsidP="00535231">
            <w:pPr>
              <w:spacing w:after="0" w:line="240" w:lineRule="auto"/>
              <w:jc w:val="center"/>
              <w:rPr>
                <w:sz w:val="18"/>
                <w:szCs w:val="18"/>
              </w:rPr>
            </w:pPr>
            <w:r>
              <w:rPr>
                <w:sz w:val="18"/>
                <w:szCs w:val="18"/>
              </w:rPr>
              <w:t>Συνεργασία πλοιοκτήτη–ναυλωτή· ζήτηση από τους πελάτες</w:t>
            </w:r>
          </w:p>
        </w:tc>
        <w:tc>
          <w:tcPr>
            <w:tcW w:w="4140" w:type="dxa"/>
            <w:tcMar>
              <w:top w:w="60" w:type="dxa"/>
              <w:left w:w="100" w:type="dxa"/>
              <w:bottom w:w="60" w:type="dxa"/>
              <w:right w:w="100" w:type="dxa"/>
            </w:tcMar>
            <w:vAlign w:val="center"/>
          </w:tcPr>
          <w:p w14:paraId="170B7213" w14:textId="77777777" w:rsidR="00DE3C3C" w:rsidRDefault="003C7DFB" w:rsidP="00535231">
            <w:pPr>
              <w:spacing w:after="0" w:line="240" w:lineRule="auto"/>
              <w:jc w:val="center"/>
              <w:rPr>
                <w:sz w:val="18"/>
                <w:szCs w:val="18"/>
              </w:rPr>
            </w:pPr>
            <w:r>
              <w:rPr>
                <w:sz w:val="18"/>
                <w:szCs w:val="18"/>
              </w:rPr>
              <w:t xml:space="preserve">Οι εκπομπές </w:t>
            </w:r>
            <w:proofErr w:type="spellStart"/>
            <w:r>
              <w:rPr>
                <w:sz w:val="18"/>
                <w:szCs w:val="18"/>
              </w:rPr>
              <w:t>scope</w:t>
            </w:r>
            <w:proofErr w:type="spellEnd"/>
            <w:r>
              <w:rPr>
                <w:sz w:val="18"/>
                <w:szCs w:val="18"/>
              </w:rPr>
              <w:t xml:space="preserve"> 3 των ναυλωτών και οι βαθμολογίες CII χρησιμοποιούνται σε συμβάσεις και ασφαλίσεις</w:t>
            </w:r>
          </w:p>
        </w:tc>
      </w:tr>
      <w:tr w:rsidR="00DE3C3C" w14:paraId="542DED8B" w14:textId="77777777">
        <w:trPr>
          <w:cantSplit/>
          <w:jc w:val="center"/>
        </w:trPr>
        <w:tc>
          <w:tcPr>
            <w:tcW w:w="1900" w:type="dxa"/>
            <w:tcMar>
              <w:top w:w="60" w:type="dxa"/>
              <w:left w:w="100" w:type="dxa"/>
              <w:bottom w:w="60" w:type="dxa"/>
              <w:right w:w="100" w:type="dxa"/>
            </w:tcMar>
            <w:vAlign w:val="center"/>
          </w:tcPr>
          <w:p w14:paraId="5A339BF1" w14:textId="77777777" w:rsidR="00DE3C3C" w:rsidRDefault="003C7DFB" w:rsidP="00535231">
            <w:pPr>
              <w:spacing w:after="0" w:line="240" w:lineRule="auto"/>
              <w:jc w:val="center"/>
              <w:rPr>
                <w:sz w:val="18"/>
                <w:szCs w:val="18"/>
              </w:rPr>
            </w:pPr>
            <w:r>
              <w:rPr>
                <w:sz w:val="18"/>
                <w:szCs w:val="18"/>
              </w:rPr>
              <w:t>Εσωτερικός κινητήριος παράγοντας</w:t>
            </w:r>
          </w:p>
        </w:tc>
        <w:tc>
          <w:tcPr>
            <w:tcW w:w="2600" w:type="dxa"/>
            <w:tcMar>
              <w:top w:w="60" w:type="dxa"/>
              <w:left w:w="100" w:type="dxa"/>
              <w:bottom w:w="60" w:type="dxa"/>
              <w:right w:w="100" w:type="dxa"/>
            </w:tcMar>
            <w:vAlign w:val="center"/>
          </w:tcPr>
          <w:p w14:paraId="08F2438C" w14:textId="77777777" w:rsidR="00DE3C3C" w:rsidRDefault="003C7DFB" w:rsidP="00535231">
            <w:pPr>
              <w:spacing w:after="0" w:line="240" w:lineRule="auto"/>
              <w:jc w:val="center"/>
              <w:rPr>
                <w:sz w:val="18"/>
                <w:szCs w:val="18"/>
              </w:rPr>
            </w:pPr>
            <w:r>
              <w:rPr>
                <w:sz w:val="18"/>
                <w:szCs w:val="18"/>
              </w:rPr>
              <w:t>Ηγεσία, στρατηγική και εθελοντικές δεσμεύσεις</w:t>
            </w:r>
          </w:p>
        </w:tc>
        <w:tc>
          <w:tcPr>
            <w:tcW w:w="4140" w:type="dxa"/>
            <w:tcMar>
              <w:top w:w="60" w:type="dxa"/>
              <w:left w:w="100" w:type="dxa"/>
              <w:bottom w:w="60" w:type="dxa"/>
              <w:right w:w="100" w:type="dxa"/>
            </w:tcMar>
            <w:vAlign w:val="center"/>
          </w:tcPr>
          <w:p w14:paraId="511600EA" w14:textId="77777777" w:rsidR="00DE3C3C" w:rsidRDefault="003C7DFB" w:rsidP="00535231">
            <w:pPr>
              <w:spacing w:after="0" w:line="240" w:lineRule="auto"/>
              <w:jc w:val="center"/>
              <w:rPr>
                <w:sz w:val="18"/>
                <w:szCs w:val="18"/>
              </w:rPr>
            </w:pPr>
            <w:r>
              <w:rPr>
                <w:sz w:val="18"/>
                <w:szCs w:val="18"/>
              </w:rPr>
              <w:t>Μεγάλες εταιρείες με επαρκείς πόρους πειραματίζονται στα δικά τους πλοία</w:t>
            </w:r>
          </w:p>
        </w:tc>
      </w:tr>
      <w:tr w:rsidR="00DE3C3C" w14:paraId="618CAD9B" w14:textId="77777777">
        <w:trPr>
          <w:cantSplit/>
          <w:jc w:val="center"/>
        </w:trPr>
        <w:tc>
          <w:tcPr>
            <w:tcW w:w="1900" w:type="dxa"/>
            <w:tcMar>
              <w:top w:w="60" w:type="dxa"/>
              <w:left w:w="100" w:type="dxa"/>
              <w:bottom w:w="60" w:type="dxa"/>
              <w:right w:w="100" w:type="dxa"/>
            </w:tcMar>
            <w:vAlign w:val="center"/>
          </w:tcPr>
          <w:p w14:paraId="00FED3DA" w14:textId="77777777" w:rsidR="00DE3C3C" w:rsidRDefault="003C7DFB" w:rsidP="00535231">
            <w:pPr>
              <w:spacing w:after="0" w:line="240" w:lineRule="auto"/>
              <w:jc w:val="center"/>
              <w:rPr>
                <w:sz w:val="18"/>
                <w:szCs w:val="18"/>
              </w:rPr>
            </w:pPr>
            <w:r>
              <w:rPr>
                <w:sz w:val="18"/>
                <w:szCs w:val="18"/>
              </w:rPr>
              <w:t>Συνδετικός κινητήριος παράγοντας</w:t>
            </w:r>
          </w:p>
        </w:tc>
        <w:tc>
          <w:tcPr>
            <w:tcW w:w="2600" w:type="dxa"/>
            <w:tcMar>
              <w:top w:w="60" w:type="dxa"/>
              <w:left w:w="100" w:type="dxa"/>
              <w:bottom w:w="60" w:type="dxa"/>
              <w:right w:w="100" w:type="dxa"/>
            </w:tcMar>
            <w:vAlign w:val="center"/>
          </w:tcPr>
          <w:p w14:paraId="4B120A51" w14:textId="77777777" w:rsidR="00DE3C3C" w:rsidRDefault="003C7DFB" w:rsidP="00535231">
            <w:pPr>
              <w:spacing w:after="0" w:line="240" w:lineRule="auto"/>
              <w:jc w:val="center"/>
              <w:rPr>
                <w:sz w:val="18"/>
                <w:szCs w:val="18"/>
              </w:rPr>
            </w:pPr>
            <w:r>
              <w:rPr>
                <w:sz w:val="18"/>
                <w:szCs w:val="18"/>
              </w:rPr>
              <w:t>Πίεση από τους εμπλεκόμενους φορείς, εταιρική εικόνα και κοινωνική αποδοχή</w:t>
            </w:r>
          </w:p>
        </w:tc>
        <w:tc>
          <w:tcPr>
            <w:tcW w:w="4140" w:type="dxa"/>
            <w:tcMar>
              <w:top w:w="60" w:type="dxa"/>
              <w:left w:w="100" w:type="dxa"/>
              <w:bottom w:w="60" w:type="dxa"/>
              <w:right w:w="100" w:type="dxa"/>
            </w:tcMar>
            <w:vAlign w:val="center"/>
          </w:tcPr>
          <w:p w14:paraId="0E22A124" w14:textId="77777777" w:rsidR="00DE3C3C" w:rsidRDefault="003C7DFB" w:rsidP="00535231">
            <w:pPr>
              <w:spacing w:after="0" w:line="240" w:lineRule="auto"/>
              <w:jc w:val="center"/>
              <w:rPr>
                <w:sz w:val="18"/>
                <w:szCs w:val="18"/>
              </w:rPr>
            </w:pPr>
            <w:r>
              <w:rPr>
                <w:sz w:val="18"/>
                <w:szCs w:val="18"/>
              </w:rPr>
              <w:t>Ορατή τεχνολογία με αξία για τη φήμη της εταιρείας</w:t>
            </w:r>
          </w:p>
        </w:tc>
      </w:tr>
      <w:tr w:rsidR="00DE3C3C" w14:paraId="6CBA56D0" w14:textId="77777777">
        <w:trPr>
          <w:cantSplit/>
          <w:jc w:val="center"/>
        </w:trPr>
        <w:tc>
          <w:tcPr>
            <w:tcW w:w="1900" w:type="dxa"/>
            <w:tcMar>
              <w:top w:w="60" w:type="dxa"/>
              <w:left w:w="100" w:type="dxa"/>
              <w:bottom w:w="60" w:type="dxa"/>
              <w:right w:w="100" w:type="dxa"/>
            </w:tcMar>
            <w:vAlign w:val="center"/>
          </w:tcPr>
          <w:p w14:paraId="6CECF0BE" w14:textId="77777777" w:rsidR="00DE3C3C" w:rsidRDefault="003C7DFB" w:rsidP="00535231">
            <w:pPr>
              <w:spacing w:after="0" w:line="240" w:lineRule="auto"/>
              <w:jc w:val="center"/>
              <w:rPr>
                <w:sz w:val="18"/>
                <w:szCs w:val="18"/>
              </w:rPr>
            </w:pPr>
            <w:r>
              <w:rPr>
                <w:sz w:val="18"/>
                <w:szCs w:val="18"/>
              </w:rPr>
              <w:t>Οικονομικό εμπόδιο</w:t>
            </w:r>
          </w:p>
        </w:tc>
        <w:tc>
          <w:tcPr>
            <w:tcW w:w="2600" w:type="dxa"/>
            <w:tcMar>
              <w:top w:w="60" w:type="dxa"/>
              <w:left w:w="100" w:type="dxa"/>
              <w:bottom w:w="60" w:type="dxa"/>
              <w:right w:w="100" w:type="dxa"/>
            </w:tcMar>
            <w:vAlign w:val="center"/>
          </w:tcPr>
          <w:p w14:paraId="58DC9645" w14:textId="77777777" w:rsidR="00DE3C3C" w:rsidRDefault="003C7DFB" w:rsidP="00535231">
            <w:pPr>
              <w:spacing w:after="0" w:line="240" w:lineRule="auto"/>
              <w:jc w:val="center"/>
              <w:rPr>
                <w:sz w:val="18"/>
                <w:szCs w:val="18"/>
              </w:rPr>
            </w:pPr>
            <w:r>
              <w:rPr>
                <w:sz w:val="18"/>
                <w:szCs w:val="18"/>
              </w:rPr>
              <w:t>Έλλειψη επιχειρηματικού σκεπτικού· περίοδος αποπληρωμής· βραχυχρόνιες ναυλώσεις</w:t>
            </w:r>
          </w:p>
        </w:tc>
        <w:tc>
          <w:tcPr>
            <w:tcW w:w="4140" w:type="dxa"/>
            <w:tcMar>
              <w:top w:w="60" w:type="dxa"/>
              <w:left w:w="100" w:type="dxa"/>
              <w:bottom w:w="60" w:type="dxa"/>
              <w:right w:w="100" w:type="dxa"/>
            </w:tcMar>
            <w:vAlign w:val="center"/>
          </w:tcPr>
          <w:p w14:paraId="217DA89D" w14:textId="77777777" w:rsidR="00DE3C3C" w:rsidRDefault="003C7DFB" w:rsidP="00535231">
            <w:pPr>
              <w:spacing w:after="0" w:line="240" w:lineRule="auto"/>
              <w:jc w:val="center"/>
              <w:rPr>
                <w:sz w:val="18"/>
                <w:szCs w:val="18"/>
              </w:rPr>
            </w:pPr>
            <w:r>
              <w:rPr>
                <w:sz w:val="18"/>
                <w:szCs w:val="18"/>
              </w:rPr>
              <w:t>Υψηλό κόστος, ιδίως για μικρούς πλοιοκτήτες· τα πλοία μεταπωλούνται· οι βραχυχρόνιες ναυλώσεις περιορίζουν την απόδοση</w:t>
            </w:r>
          </w:p>
        </w:tc>
      </w:tr>
      <w:tr w:rsidR="00DE3C3C" w14:paraId="2191B78A" w14:textId="77777777">
        <w:trPr>
          <w:cantSplit/>
          <w:jc w:val="center"/>
        </w:trPr>
        <w:tc>
          <w:tcPr>
            <w:tcW w:w="1900" w:type="dxa"/>
            <w:tcMar>
              <w:top w:w="60" w:type="dxa"/>
              <w:left w:w="100" w:type="dxa"/>
              <w:bottom w:w="60" w:type="dxa"/>
              <w:right w:w="100" w:type="dxa"/>
            </w:tcMar>
            <w:vAlign w:val="center"/>
          </w:tcPr>
          <w:p w14:paraId="43A16A37" w14:textId="77777777" w:rsidR="00DE3C3C" w:rsidRDefault="003C7DFB" w:rsidP="00535231">
            <w:pPr>
              <w:spacing w:after="0" w:line="240" w:lineRule="auto"/>
              <w:jc w:val="center"/>
              <w:rPr>
                <w:sz w:val="18"/>
                <w:szCs w:val="18"/>
              </w:rPr>
            </w:pPr>
            <w:r>
              <w:rPr>
                <w:sz w:val="18"/>
                <w:szCs w:val="18"/>
              </w:rPr>
              <w:t>Οργανωτικό εμπόδιο</w:t>
            </w:r>
          </w:p>
        </w:tc>
        <w:tc>
          <w:tcPr>
            <w:tcW w:w="2600" w:type="dxa"/>
            <w:tcMar>
              <w:top w:w="60" w:type="dxa"/>
              <w:left w:w="100" w:type="dxa"/>
              <w:bottom w:w="60" w:type="dxa"/>
              <w:right w:w="100" w:type="dxa"/>
            </w:tcMar>
            <w:vAlign w:val="center"/>
          </w:tcPr>
          <w:p w14:paraId="2274952D" w14:textId="77777777" w:rsidR="00DE3C3C" w:rsidRDefault="003C7DFB" w:rsidP="00535231">
            <w:pPr>
              <w:spacing w:after="0" w:line="240" w:lineRule="auto"/>
              <w:jc w:val="center"/>
              <w:rPr>
                <w:sz w:val="18"/>
                <w:szCs w:val="18"/>
              </w:rPr>
            </w:pPr>
            <w:r>
              <w:rPr>
                <w:sz w:val="18"/>
                <w:szCs w:val="18"/>
              </w:rPr>
              <w:t xml:space="preserve">Κουλτούρα </w:t>
            </w:r>
            <w:proofErr w:type="spellStart"/>
            <w:r>
              <w:rPr>
                <w:sz w:val="18"/>
                <w:szCs w:val="18"/>
              </w:rPr>
              <w:t>just</w:t>
            </w:r>
            <w:proofErr w:type="spellEnd"/>
            <w:r>
              <w:rPr>
                <w:sz w:val="18"/>
                <w:szCs w:val="18"/>
              </w:rPr>
              <w:t>-in-</w:t>
            </w:r>
            <w:proofErr w:type="spellStart"/>
            <w:r>
              <w:rPr>
                <w:sz w:val="18"/>
                <w:szCs w:val="18"/>
              </w:rPr>
              <w:t>time</w:t>
            </w:r>
            <w:proofErr w:type="spellEnd"/>
            <w:r>
              <w:rPr>
                <w:sz w:val="18"/>
                <w:szCs w:val="18"/>
              </w:rPr>
              <w:t>· ανάθεση της διαχείρισης σε τρίτους</w:t>
            </w:r>
          </w:p>
        </w:tc>
        <w:tc>
          <w:tcPr>
            <w:tcW w:w="4140" w:type="dxa"/>
            <w:tcMar>
              <w:top w:w="60" w:type="dxa"/>
              <w:left w:w="100" w:type="dxa"/>
              <w:bottom w:w="60" w:type="dxa"/>
              <w:right w:w="100" w:type="dxa"/>
            </w:tcMar>
            <w:vAlign w:val="center"/>
          </w:tcPr>
          <w:p w14:paraId="6D8BA6FA" w14:textId="77777777" w:rsidR="00DE3C3C" w:rsidRDefault="003C7DFB" w:rsidP="00535231">
            <w:pPr>
              <w:spacing w:after="0" w:line="240" w:lineRule="auto"/>
              <w:jc w:val="center"/>
              <w:rPr>
                <w:sz w:val="18"/>
                <w:szCs w:val="18"/>
              </w:rPr>
            </w:pPr>
            <w:r>
              <w:rPr>
                <w:sz w:val="18"/>
                <w:szCs w:val="18"/>
              </w:rPr>
              <w:t>Η αλλαγή πορείας για αξιοποίηση του ανέμου συγκρούεται με τα σταθερά προγράμματα· διαχωρισμένα κίνητρα μεταξύ πλοιοκτήτη, ναυλωτή και διαχειριστή</w:t>
            </w:r>
          </w:p>
        </w:tc>
      </w:tr>
      <w:tr w:rsidR="00DE3C3C" w14:paraId="3C96341F" w14:textId="77777777">
        <w:trPr>
          <w:cantSplit/>
          <w:jc w:val="center"/>
        </w:trPr>
        <w:tc>
          <w:tcPr>
            <w:tcW w:w="1900" w:type="dxa"/>
            <w:tcMar>
              <w:top w:w="60" w:type="dxa"/>
              <w:left w:w="100" w:type="dxa"/>
              <w:bottom w:w="60" w:type="dxa"/>
              <w:right w:w="100" w:type="dxa"/>
            </w:tcMar>
            <w:vAlign w:val="center"/>
          </w:tcPr>
          <w:p w14:paraId="6E3AE034" w14:textId="77777777" w:rsidR="00DE3C3C" w:rsidRDefault="003C7DFB" w:rsidP="00535231">
            <w:pPr>
              <w:spacing w:after="0" w:line="240" w:lineRule="auto"/>
              <w:jc w:val="center"/>
              <w:rPr>
                <w:sz w:val="18"/>
                <w:szCs w:val="18"/>
              </w:rPr>
            </w:pPr>
            <w:proofErr w:type="spellStart"/>
            <w:r>
              <w:rPr>
                <w:sz w:val="18"/>
                <w:szCs w:val="18"/>
              </w:rPr>
              <w:t>Συμπεριφορικό</w:t>
            </w:r>
            <w:proofErr w:type="spellEnd"/>
            <w:r>
              <w:rPr>
                <w:sz w:val="18"/>
                <w:szCs w:val="18"/>
              </w:rPr>
              <w:t xml:space="preserve"> εμπόδιο</w:t>
            </w:r>
          </w:p>
        </w:tc>
        <w:tc>
          <w:tcPr>
            <w:tcW w:w="2600" w:type="dxa"/>
            <w:tcMar>
              <w:top w:w="60" w:type="dxa"/>
              <w:left w:w="100" w:type="dxa"/>
              <w:bottom w:w="60" w:type="dxa"/>
              <w:right w:w="100" w:type="dxa"/>
            </w:tcMar>
            <w:vAlign w:val="center"/>
          </w:tcPr>
          <w:p w14:paraId="63B81822" w14:textId="77777777" w:rsidR="00DE3C3C" w:rsidRDefault="003C7DFB" w:rsidP="00535231">
            <w:pPr>
              <w:spacing w:after="0" w:line="240" w:lineRule="auto"/>
              <w:jc w:val="center"/>
              <w:rPr>
                <w:sz w:val="18"/>
                <w:szCs w:val="18"/>
              </w:rPr>
            </w:pPr>
            <w:r>
              <w:rPr>
                <w:sz w:val="18"/>
                <w:szCs w:val="18"/>
              </w:rPr>
              <w:t>Συντηρητισμός· έλλειψη γνώσεων</w:t>
            </w:r>
          </w:p>
        </w:tc>
        <w:tc>
          <w:tcPr>
            <w:tcW w:w="4140" w:type="dxa"/>
            <w:tcMar>
              <w:top w:w="60" w:type="dxa"/>
              <w:left w:w="100" w:type="dxa"/>
              <w:bottom w:w="60" w:type="dxa"/>
              <w:right w:w="100" w:type="dxa"/>
            </w:tcMar>
            <w:vAlign w:val="center"/>
          </w:tcPr>
          <w:p w14:paraId="2882CA43" w14:textId="77777777" w:rsidR="00DE3C3C" w:rsidRDefault="003C7DFB" w:rsidP="00535231">
            <w:pPr>
              <w:spacing w:after="0" w:line="240" w:lineRule="auto"/>
              <w:jc w:val="center"/>
              <w:rPr>
                <w:sz w:val="18"/>
                <w:szCs w:val="18"/>
              </w:rPr>
            </w:pPr>
            <w:r>
              <w:rPr>
                <w:sz w:val="18"/>
                <w:szCs w:val="18"/>
              </w:rPr>
              <w:t>Προτίμηση για καύσιμα άμεσης αντικατάστασης (</w:t>
            </w:r>
            <w:proofErr w:type="spellStart"/>
            <w:r>
              <w:rPr>
                <w:sz w:val="18"/>
                <w:szCs w:val="18"/>
              </w:rPr>
              <w:t>drop</w:t>
            </w:r>
            <w:proofErr w:type="spellEnd"/>
            <w:r>
              <w:rPr>
                <w:sz w:val="18"/>
                <w:szCs w:val="18"/>
              </w:rPr>
              <w:t>-in)· τα οφέλη των συνδυασμένων μέτρων δεν είναι απλώς αθροιστικά</w:t>
            </w:r>
          </w:p>
        </w:tc>
      </w:tr>
      <w:tr w:rsidR="00DE3C3C" w14:paraId="7C955C52" w14:textId="77777777">
        <w:trPr>
          <w:cantSplit/>
          <w:jc w:val="center"/>
        </w:trPr>
        <w:tc>
          <w:tcPr>
            <w:tcW w:w="1900" w:type="dxa"/>
            <w:tcMar>
              <w:top w:w="60" w:type="dxa"/>
              <w:left w:w="100" w:type="dxa"/>
              <w:bottom w:w="60" w:type="dxa"/>
              <w:right w:w="100" w:type="dxa"/>
            </w:tcMar>
            <w:vAlign w:val="center"/>
          </w:tcPr>
          <w:p w14:paraId="695A638C" w14:textId="77777777" w:rsidR="00DE3C3C" w:rsidRDefault="003C7DFB">
            <w:pPr>
              <w:spacing w:after="0" w:line="240" w:lineRule="auto"/>
              <w:rPr>
                <w:sz w:val="18"/>
                <w:szCs w:val="18"/>
              </w:rPr>
            </w:pPr>
            <w:r>
              <w:rPr>
                <w:sz w:val="18"/>
                <w:szCs w:val="18"/>
              </w:rPr>
              <w:t>Τεχνολογικό εμπόδιο</w:t>
            </w:r>
          </w:p>
        </w:tc>
        <w:tc>
          <w:tcPr>
            <w:tcW w:w="2600" w:type="dxa"/>
            <w:tcMar>
              <w:top w:w="60" w:type="dxa"/>
              <w:left w:w="100" w:type="dxa"/>
              <w:bottom w:w="60" w:type="dxa"/>
              <w:right w:w="100" w:type="dxa"/>
            </w:tcMar>
            <w:vAlign w:val="center"/>
          </w:tcPr>
          <w:p w14:paraId="4BA9ED57" w14:textId="77777777" w:rsidR="00DE3C3C" w:rsidRDefault="003C7DFB">
            <w:pPr>
              <w:spacing w:after="0" w:line="240" w:lineRule="auto"/>
              <w:rPr>
                <w:sz w:val="18"/>
                <w:szCs w:val="18"/>
              </w:rPr>
            </w:pPr>
            <w:proofErr w:type="spellStart"/>
            <w:r>
              <w:rPr>
                <w:sz w:val="18"/>
                <w:szCs w:val="18"/>
              </w:rPr>
              <w:t>Τμηματοποίηση</w:t>
            </w:r>
            <w:proofErr w:type="spellEnd"/>
            <w:r>
              <w:rPr>
                <w:sz w:val="18"/>
                <w:szCs w:val="18"/>
              </w:rPr>
              <w:t xml:space="preserve"> της αγοράς· επιχειρησιακοί περιορισμοί</w:t>
            </w:r>
          </w:p>
        </w:tc>
        <w:tc>
          <w:tcPr>
            <w:tcW w:w="4140" w:type="dxa"/>
            <w:tcMar>
              <w:top w:w="60" w:type="dxa"/>
              <w:left w:w="100" w:type="dxa"/>
              <w:bottom w:w="60" w:type="dxa"/>
              <w:right w:w="100" w:type="dxa"/>
            </w:tcMar>
            <w:vAlign w:val="center"/>
          </w:tcPr>
          <w:p w14:paraId="510309A2" w14:textId="3BCEC3DC" w:rsidR="00DE3C3C" w:rsidRDefault="003C7DFB">
            <w:pPr>
              <w:spacing w:after="0" w:line="240" w:lineRule="auto"/>
              <w:rPr>
                <w:sz w:val="18"/>
                <w:szCs w:val="18"/>
              </w:rPr>
            </w:pPr>
            <w:r>
              <w:rPr>
                <w:sz w:val="18"/>
                <w:szCs w:val="18"/>
              </w:rPr>
              <w:t>Η ελεύθερη ναυτιλία δεν μπορεί να σχεδιάσει με βάση τον άνεμο, ενώ η τακτική γραμμή μπορεί· δεν έχουν όλες οι διαδρομές κατάλληλο άνεμο</w:t>
            </w:r>
          </w:p>
        </w:tc>
      </w:tr>
    </w:tbl>
    <w:p w14:paraId="0903B924" w14:textId="06F25F80" w:rsidR="00DE3C3C" w:rsidRDefault="003C7DFB">
      <w:pPr>
        <w:spacing w:before="60" w:after="200" w:line="240" w:lineRule="auto"/>
        <w:jc w:val="both"/>
      </w:pPr>
      <w:r>
        <w:rPr>
          <w:i/>
          <w:iCs/>
          <w:sz w:val="18"/>
          <w:szCs w:val="18"/>
        </w:rPr>
        <w:lastRenderedPageBreak/>
        <w:t xml:space="preserve">Πηγή: </w:t>
      </w:r>
      <w:proofErr w:type="spellStart"/>
      <w:r>
        <w:rPr>
          <w:i/>
          <w:iCs/>
          <w:sz w:val="18"/>
          <w:szCs w:val="18"/>
        </w:rPr>
        <w:t>Djoumessi</w:t>
      </w:r>
      <w:proofErr w:type="spellEnd"/>
      <w:r>
        <w:rPr>
          <w:i/>
          <w:iCs/>
          <w:sz w:val="18"/>
          <w:szCs w:val="18"/>
        </w:rPr>
        <w:t xml:space="preserve"> </w:t>
      </w:r>
      <w:proofErr w:type="spellStart"/>
      <w:r>
        <w:rPr>
          <w:i/>
          <w:iCs/>
          <w:sz w:val="18"/>
          <w:szCs w:val="18"/>
        </w:rPr>
        <w:t>et</w:t>
      </w:r>
      <w:proofErr w:type="spellEnd"/>
      <w:r>
        <w:rPr>
          <w:i/>
          <w:iCs/>
          <w:sz w:val="18"/>
          <w:szCs w:val="18"/>
        </w:rPr>
        <w:t xml:space="preserve"> </w:t>
      </w:r>
      <w:proofErr w:type="spellStart"/>
      <w:r>
        <w:rPr>
          <w:i/>
          <w:iCs/>
          <w:sz w:val="18"/>
          <w:szCs w:val="18"/>
        </w:rPr>
        <w:t>al</w:t>
      </w:r>
      <w:proofErr w:type="spellEnd"/>
      <w:r>
        <w:rPr>
          <w:i/>
          <w:iCs/>
          <w:sz w:val="18"/>
          <w:szCs w:val="18"/>
        </w:rPr>
        <w:t>. [</w:t>
      </w:r>
      <w:r>
        <w:rPr>
          <w:i/>
          <w:iCs/>
          <w:sz w:val="18"/>
          <w:szCs w:val="18"/>
        </w:rPr>
        <w:fldChar w:fldCharType="begin"/>
      </w:r>
      <w:r>
        <w:rPr>
          <w:i/>
          <w:iCs/>
          <w:sz w:val="18"/>
          <w:szCs w:val="18"/>
        </w:rPr>
        <w:instrText xml:space="preserve"> REF _Ref_cit_34 \h \* MERGEFORMAT </w:instrText>
      </w:r>
      <w:r>
        <w:rPr>
          <w:i/>
          <w:iCs/>
          <w:sz w:val="18"/>
          <w:szCs w:val="18"/>
        </w:rPr>
      </w:r>
      <w:r>
        <w:rPr>
          <w:i/>
          <w:iCs/>
          <w:sz w:val="18"/>
          <w:szCs w:val="18"/>
        </w:rPr>
        <w:fldChar w:fldCharType="separate"/>
      </w:r>
      <w:r w:rsidR="00B0043E" w:rsidRPr="00B0043E">
        <w:rPr>
          <w:i/>
          <w:iCs/>
          <w:sz w:val="18"/>
          <w:szCs w:val="18"/>
        </w:rPr>
        <w:t>34</w:t>
      </w:r>
      <w:r>
        <w:rPr>
          <w:i/>
          <w:iCs/>
          <w:sz w:val="18"/>
          <w:szCs w:val="18"/>
        </w:rPr>
        <w:fldChar w:fldCharType="end"/>
      </w:r>
      <w:r>
        <w:rPr>
          <w:i/>
          <w:iCs/>
          <w:sz w:val="18"/>
          <w:szCs w:val="18"/>
        </w:rPr>
        <w:t>]· συμπυκνωμένο από τον συγγραφέα. Οι συνεντευξιαζόμενοι δεν ανέφεραν κανένα εμπόδιο υποδομών σχετικό με τους λιμένες.</w:t>
      </w:r>
    </w:p>
    <w:p w14:paraId="6EE25D96" w14:textId="7E5BFAC1" w:rsidR="00DE3C3C" w:rsidRDefault="003C7DFB">
      <w:pPr>
        <w:spacing w:line="360" w:lineRule="auto"/>
        <w:ind w:firstLine="576"/>
        <w:jc w:val="both"/>
      </w:pPr>
      <w:r>
        <w:t xml:space="preserve">Οι συνεντεύξεις δείχνουν ότι </w:t>
      </w:r>
      <w:r w:rsidR="00A333CE">
        <w:t>οι κανονισμοί</w:t>
      </w:r>
      <w:r>
        <w:t xml:space="preserve"> είναι ο σημαντικότερος κινητήριος παράγοντας: χωρίς αυτήν η διείσδυση </w:t>
      </w:r>
      <w:r w:rsidR="00A333CE">
        <w:t xml:space="preserve">των συστημάτων </w:t>
      </w:r>
      <w:r>
        <w:t xml:space="preserve">θα ήταν περιορισμένη, ιδίως όταν οι ναύλοι είναι υψηλοί και το καύσιμο φθηνό, ενώ ο </w:t>
      </w:r>
      <w:proofErr w:type="spellStart"/>
      <w:r>
        <w:t>FuelEU</w:t>
      </w:r>
      <w:proofErr w:type="spellEnd"/>
      <w:r>
        <w:t xml:space="preserve"> Maritime και ο CII, τον οποίο οι ναυλωτές και οι ασφαλιστές χρησιμοποιούν στις συμβάσεις και στην τιμολόγηση, αναφέρθηκαν ως τα κύρια εργαλεία [</w:t>
      </w:r>
      <w:r>
        <w:fldChar w:fldCharType="begin"/>
      </w:r>
      <w:r>
        <w:instrText xml:space="preserve"> REF _Ref_cit_34 \h \* MERGEFORMAT </w:instrText>
      </w:r>
      <w:r>
        <w:fldChar w:fldCharType="separate"/>
      </w:r>
      <w:r w:rsidR="00B0043E" w:rsidRPr="00B0043E">
        <w:t>34</w:t>
      </w:r>
      <w:r>
        <w:fldChar w:fldCharType="end"/>
      </w:r>
      <w:r>
        <w:t xml:space="preserve">]. Αρκετοί συνεντευξιαζόμενοι θεωρούσαν τα WAPS ενδιάμεση λύση μέχρι να αποδειχθεί η </w:t>
      </w:r>
      <w:proofErr w:type="spellStart"/>
      <w:r>
        <w:t>καταλληλότητα</w:t>
      </w:r>
      <w:proofErr w:type="spellEnd"/>
      <w:r>
        <w:t xml:space="preserve"> κάποιου εναλλακτικού καυσίμου, ενώ ένας ναυλωτής είχε επιλέξει αντ’ αυτών το LNG, επειδή ήταν 150</w:t>
      </w:r>
      <w:r w:rsidR="00830F65" w:rsidRPr="00830F65">
        <w:t xml:space="preserve"> </w:t>
      </w:r>
      <w:r w:rsidR="00830F65">
        <w:t>USD</w:t>
      </w:r>
      <w:r>
        <w:t xml:space="preserve"> ανά τόνο φθηνότερο στη Σιγκαπούρη και υποσχόταν μείωση των εκπομπών CO₂ κατά 30% — δήλωση ενός μόνο ερωτώμενου [</w:t>
      </w:r>
      <w:r>
        <w:fldChar w:fldCharType="begin"/>
      </w:r>
      <w:r>
        <w:instrText xml:space="preserve"> REF _Ref_cit_34 \h \* MERGEFORMAT </w:instrText>
      </w:r>
      <w:r>
        <w:fldChar w:fldCharType="separate"/>
      </w:r>
      <w:r w:rsidR="00B0043E" w:rsidRPr="00B0043E">
        <w:t>34</w:t>
      </w:r>
      <w:r>
        <w:fldChar w:fldCharType="end"/>
      </w:r>
      <w:r>
        <w:t>]. Το κεντρικό οικονομικό εμπόδιο είναι η περίοδος αποπληρωμής, επειδή οι πλοιοκτήτες συχνά πωλούν τα πλοία τους: μια μέγιστη περίοδος αποπληρωμής πέντε ετών φαινόταν να αποτελεί τον κανόνα για τις μετασκευές, ορισμένοι πλοιοκτήτες επιθυμούσαν τρία έως τέσσερα έτη, ενώ έως δέκα έτη θα μπορούσαν να γίνουν αποδεκτά για πλοία ηλικίας όχι μεγαλύτερης των περίπου 15 ετών, με 15 έως 25 έτη υπηρεσίας μπροστά τους, ενώ τα παλαιότερα πλοία θεωρούνταν πολύ παλαιά για μετασκευή [</w:t>
      </w:r>
      <w:r>
        <w:fldChar w:fldCharType="begin"/>
      </w:r>
      <w:r>
        <w:instrText xml:space="preserve"> REF _Ref_cit_34 \h \* MERGEFORMAT </w:instrText>
      </w:r>
      <w:r>
        <w:fldChar w:fldCharType="separate"/>
      </w:r>
      <w:r w:rsidR="00B0043E" w:rsidRPr="00B0043E">
        <w:t>34</w:t>
      </w:r>
      <w:r>
        <w:fldChar w:fldCharType="end"/>
      </w:r>
      <w:r>
        <w:t xml:space="preserve">]. Τα οργανωτικά εμπόδια είναι διαφορετικής φύσης. Η κουλτούρα </w:t>
      </w:r>
      <w:proofErr w:type="spellStart"/>
      <w:r>
        <w:t>just</w:t>
      </w:r>
      <w:proofErr w:type="spellEnd"/>
      <w:r>
        <w:t>-in-</w:t>
      </w:r>
      <w:proofErr w:type="spellStart"/>
      <w:r>
        <w:t>time</w:t>
      </w:r>
      <w:proofErr w:type="spellEnd"/>
      <w:r>
        <w:t>, με σταθερούς χρόνους άφιξης και όρους ναύλωσης, περιορίζει την αλλαγή πορείας για αξιοποίηση του ανέμου (ένας ερωτώμενος ανέφερε εξοικονόμηση 10% έναντι καθυστέρησης μίας εβδομάδας), ενώ η ανάθεση της τεχνικής και της εμπορικής διαχείρισης σε τρίτους διαχωρίζει το κόστος από το όφελος, ώστε το μέρος που πληρώνει να μην είναι αυτό που εξοικονομεί [</w:t>
      </w:r>
      <w:r>
        <w:fldChar w:fldCharType="begin"/>
      </w:r>
      <w:r>
        <w:instrText xml:space="preserve"> REF _Ref_cit_34 \h \* MERGEFORMAT </w:instrText>
      </w:r>
      <w:r>
        <w:fldChar w:fldCharType="separate"/>
      </w:r>
      <w:r w:rsidR="00B0043E" w:rsidRPr="00B0043E">
        <w:t>34</w:t>
      </w:r>
      <w:r>
        <w:fldChar w:fldCharType="end"/>
      </w:r>
      <w:r>
        <w:t>]. Χωρίς χρηματοοικονομικά κίνητρα, ο ρυθμός υιοθέτησης παραμένει χαμηλός, ιδίως για τις μετασκευές· μια μελέτη που παραθέτουν οι συγγραφείς διαπίστωσε ότι ήταν πολύ χαμηλός, εκτός εάν οι επιδοτήσεις κάλυπταν το 50% του κόστους εγκατάστασης, και οι συγγραφείς συνιστούν τη στόχευση πρωτοπόρων εταιρειών, την ενσωμάτωση κινήτρων —και όχι μόνο στόχων— στη ρύθμιση, καθώς και έργα επίδειξης [</w:t>
      </w:r>
      <w:r>
        <w:fldChar w:fldCharType="begin"/>
      </w:r>
      <w:r>
        <w:instrText xml:space="preserve"> REF _Ref_cit_34 \h \* MERGEFORMAT </w:instrText>
      </w:r>
      <w:r>
        <w:fldChar w:fldCharType="separate"/>
      </w:r>
      <w:r w:rsidR="00B0043E" w:rsidRPr="00B0043E">
        <w:t>34</w:t>
      </w:r>
      <w:r>
        <w:fldChar w:fldCharType="end"/>
      </w:r>
      <w:r>
        <w:t>].</w:t>
      </w:r>
    </w:p>
    <w:p w14:paraId="31105B30" w14:textId="573057C4" w:rsidR="006C4C83" w:rsidRDefault="001A2FEB">
      <w:pPr>
        <w:spacing w:line="360" w:lineRule="auto"/>
        <w:ind w:firstLine="576"/>
        <w:jc w:val="both"/>
      </w:pPr>
      <w:r w:rsidRPr="00353773">
        <w:t xml:space="preserve">Η εργασία των </w:t>
      </w:r>
      <w:proofErr w:type="spellStart"/>
      <w:r w:rsidRPr="00353773">
        <w:t>Rehmatulla</w:t>
      </w:r>
      <w:proofErr w:type="spellEnd"/>
      <w:r w:rsidRPr="00353773">
        <w:t xml:space="preserve"> </w:t>
      </w:r>
      <w:proofErr w:type="spellStart"/>
      <w:r w:rsidRPr="00353773">
        <w:t>et</w:t>
      </w:r>
      <w:proofErr w:type="spellEnd"/>
      <w:r w:rsidRPr="00353773">
        <w:t xml:space="preserve"> </w:t>
      </w:r>
      <w:proofErr w:type="spellStart"/>
      <w:r w:rsidRPr="00353773">
        <w:t>al</w:t>
      </w:r>
      <w:proofErr w:type="spellEnd"/>
      <w:r w:rsidRPr="00353773">
        <w:t>. [</w:t>
      </w:r>
      <w:r w:rsidRPr="00353773">
        <w:fldChar w:fldCharType="begin"/>
      </w:r>
      <w:r w:rsidRPr="00353773">
        <w:instrText xml:space="preserve"> REF _Ref_cit_73 \h \* MERGEFORMAT </w:instrText>
      </w:r>
      <w:r w:rsidRPr="00353773">
        <w:fldChar w:fldCharType="separate"/>
      </w:r>
      <w:r w:rsidR="00B0043E" w:rsidRPr="00B0043E">
        <w:t>73</w:t>
      </w:r>
      <w:r w:rsidRPr="00353773">
        <w:fldChar w:fldCharType="end"/>
      </w:r>
      <w:r w:rsidRPr="00353773">
        <w:t xml:space="preserve">], που προηγείται χρονικά, εξετάζει τα εμπόδια υιοθέτησης των αιολικών τεχνολογιών με έρευνες και εργαστήρια με προμηθευτές </w:t>
      </w:r>
      <w:r w:rsidR="008C5278" w:rsidRPr="00353773">
        <w:t xml:space="preserve">της </w:t>
      </w:r>
      <w:r w:rsidRPr="00353773">
        <w:t>τεχνολογίας και πλοιοκτήτες-διαχειριστές. Εντοπίζει τρία κύρια εμπόδια: το κόστος κεφαλαίου, τα διαχωρισμένα κίνητρα, όπου όποιος πληρώνει τον εξοπλισμό δεν εισπράττει την εξοικονόμηση καυσίμου, και τα κενά πληροφόρησης, και προτείνει τη χρηματοδότηση από τρίτους ως πιθανό τρόπο αντιμετώπισής τους [</w:t>
      </w:r>
      <w:r w:rsidRPr="00353773">
        <w:fldChar w:fldCharType="begin"/>
      </w:r>
      <w:r w:rsidRPr="00353773">
        <w:instrText xml:space="preserve"> REF _Ref_cit_73 \h \* MERGEFORMAT </w:instrText>
      </w:r>
      <w:r w:rsidRPr="00353773">
        <w:fldChar w:fldCharType="separate"/>
      </w:r>
      <w:r w:rsidR="00B0043E" w:rsidRPr="00B0043E">
        <w:t>73</w:t>
      </w:r>
      <w:r w:rsidRPr="00353773">
        <w:fldChar w:fldCharType="end"/>
      </w:r>
      <w:r w:rsidRPr="00353773">
        <w:t xml:space="preserve">]. </w:t>
      </w:r>
      <w:r w:rsidRPr="00353773">
        <w:lastRenderedPageBreak/>
        <w:t xml:space="preserve">Τα ευρήματα αυτά συμφωνούν με το οικονομικό και το οργανωτικό εμπόδιο του </w:t>
      </w:r>
      <w:r w:rsidRPr="00353773">
        <w:rPr>
          <w:b/>
          <w:bCs/>
        </w:rPr>
        <w:t xml:space="preserve">Πίνακα </w:t>
      </w:r>
      <w:r w:rsidR="00E002EC">
        <w:rPr>
          <w:b/>
          <w:bCs/>
        </w:rPr>
        <w:t>10</w:t>
      </w:r>
      <w:r w:rsidRPr="00353773">
        <w:t xml:space="preserve"> και δείχνουν ότι τα εμπόδια που αναφέρουν οι </w:t>
      </w:r>
      <w:proofErr w:type="spellStart"/>
      <w:r w:rsidRPr="00353773">
        <w:t>Djoumessi</w:t>
      </w:r>
      <w:proofErr w:type="spellEnd"/>
      <w:r w:rsidRPr="00353773">
        <w:t xml:space="preserve"> </w:t>
      </w:r>
      <w:proofErr w:type="spellStart"/>
      <w:r w:rsidRPr="00353773">
        <w:t>et</w:t>
      </w:r>
      <w:proofErr w:type="spellEnd"/>
      <w:r w:rsidRPr="00353773">
        <w:t xml:space="preserve"> </w:t>
      </w:r>
      <w:proofErr w:type="spellStart"/>
      <w:r w:rsidRPr="00353773">
        <w:t>al</w:t>
      </w:r>
      <w:proofErr w:type="spellEnd"/>
      <w:r w:rsidRPr="00353773">
        <w:t>. [</w:t>
      </w:r>
      <w:r w:rsidRPr="00353773">
        <w:fldChar w:fldCharType="begin"/>
      </w:r>
      <w:r w:rsidRPr="00353773">
        <w:instrText xml:space="preserve"> REF _Ref_cit_34 \h \* MERGEFORMAT </w:instrText>
      </w:r>
      <w:r w:rsidRPr="00353773">
        <w:fldChar w:fldCharType="separate"/>
      </w:r>
      <w:r w:rsidR="00B0043E" w:rsidRPr="00B0043E">
        <w:t>34</w:t>
      </w:r>
      <w:r w:rsidRPr="00353773">
        <w:fldChar w:fldCharType="end"/>
      </w:r>
      <w:r w:rsidRPr="00353773">
        <w:t>] φαίνεται να προϋπήρχαν της σημερινής πίεσης</w:t>
      </w:r>
      <w:r w:rsidR="007C600D">
        <w:t xml:space="preserve"> των κανονισμών</w:t>
      </w:r>
      <w:r w:rsidRPr="00353773">
        <w:t>.</w:t>
      </w:r>
    </w:p>
    <w:p w14:paraId="7D2D3694" w14:textId="5D8CFF9C" w:rsidR="00DE3C3C" w:rsidRDefault="003C7DFB">
      <w:pPr>
        <w:pStyle w:val="30"/>
      </w:pPr>
      <w:bookmarkStart w:id="178" w:name="_Toc243355341"/>
      <w:r>
        <w:t>Μετασκευή και νέα ναυπήγηση</w:t>
      </w:r>
      <w:bookmarkEnd w:id="178"/>
    </w:p>
    <w:p w14:paraId="4A93CBF8" w14:textId="43794AAB" w:rsidR="00DE3C3C" w:rsidRDefault="003C7DFB">
      <w:pPr>
        <w:spacing w:line="360" w:lineRule="auto"/>
        <w:ind w:firstLine="576"/>
        <w:jc w:val="both"/>
      </w:pPr>
      <w:r>
        <w:t xml:space="preserve">Οι συνεντεύξεις παρέχουν επίσης ορισμένα αριθμητικά στοιχεία για τη διάρθρωση του κόστους, τα οποία μπορούν να συγκριθούν με τις εκτιμήσεις της βιβλιογραφίας. Σύμφωνα με έναν συνεντευξιαζόμενο, οι βάσεις και η ενσωμάτωση ενός συστήματος </w:t>
      </w:r>
      <w:proofErr w:type="spellStart"/>
      <w:r>
        <w:t>ροτόρων</w:t>
      </w:r>
      <w:proofErr w:type="spellEnd"/>
      <w:r>
        <w:t xml:space="preserve"> αντιστοιχούν σε περίπου 20% του κόστους των ίδιων των </w:t>
      </w:r>
      <w:proofErr w:type="spellStart"/>
      <w:r>
        <w:t>ροτόρων</w:t>
      </w:r>
      <w:proofErr w:type="spellEnd"/>
      <w:r>
        <w:t xml:space="preserve"> σε μια μετασκευή, ενώ σε μια νέα ναυπήγηση το ποσοστό αυτό μειώνεται σε περίπου 5%, επειδή το πλοίο ναυπηγείται με την απαραίτητη δομή, οπότε η νέα ναυπήγηση επιβαρύνεται μόνο με το κόστος του χάλυβα [</w:t>
      </w:r>
      <w:r>
        <w:fldChar w:fldCharType="begin"/>
      </w:r>
      <w:r>
        <w:instrText xml:space="preserve"> REF _Ref_cit_34 \h \* MERGEFORMAT </w:instrText>
      </w:r>
      <w:r>
        <w:fldChar w:fldCharType="separate"/>
      </w:r>
      <w:r w:rsidR="00B0043E" w:rsidRPr="00B0043E">
        <w:t>34</w:t>
      </w:r>
      <w:r>
        <w:fldChar w:fldCharType="end"/>
      </w:r>
      <w:r>
        <w:t xml:space="preserve">]. Πρόκειται για στοιχείο ενός μόνο συνεντευξιαζόμενου, το οποίο αφορά μόνο τους </w:t>
      </w:r>
      <w:proofErr w:type="spellStart"/>
      <w:r>
        <w:t>ρότορες</w:t>
      </w:r>
      <w:proofErr w:type="spellEnd"/>
      <w:r>
        <w:t xml:space="preserve">, είναι όμως συνεπές με την εκτίμηση των </w:t>
      </w:r>
      <w:proofErr w:type="spellStart"/>
      <w:r>
        <w:t>Kolodziejski</w:t>
      </w:r>
      <w:proofErr w:type="spellEnd"/>
      <w:r>
        <w:t xml:space="preserve"> και </w:t>
      </w:r>
      <w:proofErr w:type="spellStart"/>
      <w:r>
        <w:t>Sosnowski</w:t>
      </w:r>
      <w:proofErr w:type="spellEnd"/>
      <w:r>
        <w:t xml:space="preserve"> ότι η εγκατάσταση αντιστοιχεί σε περίπου 25% του κόστους της μονάδας σε μια μετασκευή και σε 18% σε μια νέα ναυπήγηση [</w:t>
      </w:r>
      <w:r>
        <w:fldChar w:fldCharType="begin"/>
      </w:r>
      <w:r>
        <w:instrText xml:space="preserve"> REF _Ref_cit_7 \h \* MERGEFORMAT </w:instrText>
      </w:r>
      <w:r>
        <w:fldChar w:fldCharType="separate"/>
      </w:r>
      <w:r w:rsidR="00B0043E" w:rsidRPr="00B0043E">
        <w:t>7</w:t>
      </w:r>
      <w:r>
        <w:fldChar w:fldCharType="end"/>
      </w:r>
      <w:r>
        <w:t xml:space="preserve">], καθώς και με το αποτέλεσμα της μελέτης βελτιστοποίησης σχεδιασμού των </w:t>
      </w:r>
      <w:proofErr w:type="spellStart"/>
      <w:r w:rsidR="00312106">
        <w:t>Πλέσσα</w:t>
      </w:r>
      <w:proofErr w:type="spellEnd"/>
      <w:r w:rsidR="00312106">
        <w:t xml:space="preserve"> και Παπανικολάου</w:t>
      </w:r>
      <w:r>
        <w:t>, στην οποία το επιπλέον κεφαλαιουχικό κόστος ενός φορτηγού πλοίου χύδην ξηρού φορτίου με άκαμπτα ιστία μειώθηκε από 18–19% σε περίπου 7% όταν το πλοίο σχεδιάστηκε γύρω από τα ιστία [</w:t>
      </w:r>
      <w:r>
        <w:fldChar w:fldCharType="begin"/>
      </w:r>
      <w:r>
        <w:instrText xml:space="preserve"> REF _Ref_cit_45 \h \* MERGEFORMAT </w:instrText>
      </w:r>
      <w:r>
        <w:fldChar w:fldCharType="separate"/>
      </w:r>
      <w:r w:rsidR="00B0043E" w:rsidRPr="00B0043E">
        <w:t>45</w:t>
      </w:r>
      <w:r>
        <w:fldChar w:fldCharType="end"/>
      </w:r>
      <w:r>
        <w:t>].</w:t>
      </w:r>
    </w:p>
    <w:p w14:paraId="2304BAD8" w14:textId="6212522B" w:rsidR="00DE3C3C" w:rsidRDefault="003C7DFB">
      <w:pPr>
        <w:spacing w:line="360" w:lineRule="auto"/>
        <w:ind w:firstLine="576"/>
        <w:jc w:val="both"/>
      </w:pPr>
      <w:r>
        <w:t>Τα WAPS είναι επίσης ελκυστικότερα ως μέρος ενός πακέτου μέτρων. Ο ίδιος συνεντευξιαζόμενος ανέφερε ότι ένα WAPS με περίοδο αποπληρωμής τεσσάρων έως πέντε ετών, σε συνδυασμό με φωτισμό LED, ρυθμιστές στροφών μεταβλητής συχνότητας (</w:t>
      </w:r>
      <w:proofErr w:type="spellStart"/>
      <w:r>
        <w:t>variable-frequency</w:t>
      </w:r>
      <w:proofErr w:type="spellEnd"/>
      <w:r>
        <w:t xml:space="preserve"> </w:t>
      </w:r>
      <w:proofErr w:type="spellStart"/>
      <w:r>
        <w:t>drives</w:t>
      </w:r>
      <w:proofErr w:type="spellEnd"/>
      <w:r>
        <w:t xml:space="preserve">) και νέες </w:t>
      </w:r>
      <w:r w:rsidR="007762CE">
        <w:t>προπέλες</w:t>
      </w:r>
      <w:r>
        <w:t>, των οποίων η περίοδος αποπληρωμής είναι έξι μήνες έως δύο έτη, δίνει συνολική περίοδο αποπληρωμής δυόμισι έως τριών ετών [</w:t>
      </w:r>
      <w:r>
        <w:fldChar w:fldCharType="begin"/>
      </w:r>
      <w:r>
        <w:instrText xml:space="preserve"> REF _Ref_cit_34 \h \* MERGEFORMAT </w:instrText>
      </w:r>
      <w:r>
        <w:fldChar w:fldCharType="separate"/>
      </w:r>
      <w:r w:rsidR="00B0043E" w:rsidRPr="00B0043E">
        <w:t>34</w:t>
      </w:r>
      <w:r>
        <w:fldChar w:fldCharType="end"/>
      </w:r>
      <w:r>
        <w:t xml:space="preserve">]. Οι επιδράσεις δεν είναι αθροιστικές, όπως τονίζουν οι </w:t>
      </w:r>
      <w:proofErr w:type="spellStart"/>
      <w:r>
        <w:t>Bouman</w:t>
      </w:r>
      <w:proofErr w:type="spellEnd"/>
      <w:r>
        <w:t xml:space="preserve"> </w:t>
      </w:r>
      <w:proofErr w:type="spellStart"/>
      <w:r>
        <w:t>et</w:t>
      </w:r>
      <w:proofErr w:type="spellEnd"/>
      <w:r>
        <w:t xml:space="preserve"> </w:t>
      </w:r>
      <w:proofErr w:type="spellStart"/>
      <w:r>
        <w:t>al</w:t>
      </w:r>
      <w:proofErr w:type="spellEnd"/>
      <w:r>
        <w:t>. [</w:t>
      </w:r>
      <w:r>
        <w:fldChar w:fldCharType="begin"/>
      </w:r>
      <w:r>
        <w:instrText xml:space="preserve"> REF _Ref_cit_12 \h \* MERGEFORMAT </w:instrText>
      </w:r>
      <w:r>
        <w:fldChar w:fldCharType="separate"/>
      </w:r>
      <w:r w:rsidR="00B0043E" w:rsidRPr="00B0043E">
        <w:t>12</w:t>
      </w:r>
      <w:r>
        <w:fldChar w:fldCharType="end"/>
      </w:r>
      <w:r>
        <w:t>], γεγονός που υποστηρίζει την ολοκληρωμένη αξιολόγηση που προτείνεται στο Κεφάλαιο 5.</w:t>
      </w:r>
    </w:p>
    <w:p w14:paraId="0780AA78" w14:textId="77777777" w:rsidR="00DE3C3C" w:rsidRDefault="003C7DFB">
      <w:pPr>
        <w:pStyle w:val="20"/>
      </w:pPr>
      <w:bookmarkStart w:id="179" w:name="_Toc243355342"/>
      <w:r>
        <w:t>Τα WAPS στο πλαίσιο των εναλλακτικών καυσίμων</w:t>
      </w:r>
      <w:bookmarkEnd w:id="179"/>
    </w:p>
    <w:p w14:paraId="6E186155" w14:textId="77777777" w:rsidR="00DE3C3C" w:rsidRDefault="003C7DFB">
      <w:pPr>
        <w:spacing w:line="360" w:lineRule="auto"/>
        <w:ind w:firstLine="576"/>
        <w:jc w:val="both"/>
      </w:pPr>
      <w:r>
        <w:t xml:space="preserve">Τόσο οι ευρωπαϊκοί κανονισμοί όσο και οι κανονισμοί του IMO στοχεύουν μακροπρόθεσμα σε μια μετάβαση από τα ορυκτά καύσιμα σε καύσιμα με χαμηλή ένταση αερίων θερμοκηπίου σε βάση </w:t>
      </w:r>
      <w:proofErr w:type="spellStart"/>
      <w:r>
        <w:t>well-to-wake</w:t>
      </w:r>
      <w:proofErr w:type="spellEnd"/>
      <w:r>
        <w:t xml:space="preserve">, και τα όρια του </w:t>
      </w:r>
      <w:proofErr w:type="spellStart"/>
      <w:r>
        <w:t>FuelEU</w:t>
      </w:r>
      <w:proofErr w:type="spellEnd"/>
      <w:r>
        <w:t xml:space="preserve"> που παρουσιάζονται στον </w:t>
      </w:r>
      <w:r w:rsidRPr="007B05F3">
        <w:rPr>
          <w:b/>
          <w:bCs/>
        </w:rPr>
        <w:t>Πίνακα 5</w:t>
      </w:r>
      <w:r>
        <w:t xml:space="preserve"> δεν μπορούν να τηρηθούν μετά τις αρχές της δεκαετίας του 2030 χωρίς μια τέτοια μετάβαση. Το ερώτημα που εξετάζει η ενότητα αυτή είναι </w:t>
      </w:r>
      <w:r>
        <w:lastRenderedPageBreak/>
        <w:t xml:space="preserve">πώς σχετίζονται τα WAPS με τα εναλλακτικά καύσιμα. Επειδή τα εναλλακτικά καύσιμα είναι σημαντικά ακριβότερα από τα ορυκτά, μια τεχνολογία που μειώνει την ποσότητα του απαιτούμενου καυσίμου έχει μεγαλύτερη αξία όταν το καύσιμο είναι ακριβότερο, και επομένως η βιβλιογραφία για τα εναλλακτικά καύσιμα περιέχει ευρήματα που αφορούν άμεσα τα οικονομικά των WAPS. Η ενότητα αυτή συνοψίζει τα σχετικά ευρήματα για το κόστος και τις εκπομπές κύκλου ζωής της </w:t>
      </w:r>
      <w:proofErr w:type="spellStart"/>
      <w:r>
        <w:t>μεθανόλης</w:t>
      </w:r>
      <w:proofErr w:type="spellEnd"/>
      <w:r>
        <w:t>, της αμμωνίας, του υδρογόνου και του LNG, καθώς και τα αποτελέσματα μιας αξιολόγησης στην οποία η αιολική υποβοήθηση αποτελεί μία από τις εξεταζόμενες επιλογές.</w:t>
      </w:r>
    </w:p>
    <w:p w14:paraId="385AEC5F" w14:textId="77777777" w:rsidR="00DE3C3C" w:rsidRDefault="003C7DFB">
      <w:pPr>
        <w:pStyle w:val="30"/>
      </w:pPr>
      <w:bookmarkStart w:id="180" w:name="_Toc243355343"/>
      <w:r>
        <w:t>Κόστος και εκπομπές των εναλλακτικών καυσίμων</w:t>
      </w:r>
      <w:bookmarkEnd w:id="180"/>
    </w:p>
    <w:p w14:paraId="132AC0F8" w14:textId="71B9F5AC" w:rsidR="00DE3C3C" w:rsidRDefault="003C7DFB">
      <w:pPr>
        <w:spacing w:line="360" w:lineRule="auto"/>
        <w:ind w:firstLine="576"/>
        <w:jc w:val="both"/>
      </w:pPr>
      <w:r>
        <w:t xml:space="preserve">Το επιπλέον κόστος των εναλλακτικών καυσίμων είναι το πιο σταθερό εύρημα της βιβλιογραφίας. Οι </w:t>
      </w:r>
      <w:proofErr w:type="spellStart"/>
      <w:r>
        <w:t>Kim</w:t>
      </w:r>
      <w:proofErr w:type="spellEnd"/>
      <w:r>
        <w:t xml:space="preserve"> </w:t>
      </w:r>
      <w:proofErr w:type="spellStart"/>
      <w:r>
        <w:t>et</w:t>
      </w:r>
      <w:proofErr w:type="spellEnd"/>
      <w:r>
        <w:t xml:space="preserve"> </w:t>
      </w:r>
      <w:proofErr w:type="spellStart"/>
      <w:r>
        <w:t>al</w:t>
      </w:r>
      <w:proofErr w:type="spellEnd"/>
      <w:r>
        <w:t xml:space="preserve">. συνέκριναν τέσσερα συστήματα ισχύος με καύσιμο αμμωνία με ένα συμβατικό σύστημα </w:t>
      </w:r>
      <w:proofErr w:type="spellStart"/>
      <w:r>
        <w:t>βαρέος</w:t>
      </w:r>
      <w:proofErr w:type="spellEnd"/>
      <w:r>
        <w:t xml:space="preserve"> μαζούτ για ένα πλοίο τροφοδοσίας (</w:t>
      </w:r>
      <w:proofErr w:type="spellStart"/>
      <w:r>
        <w:t>feeder</w:t>
      </w:r>
      <w:proofErr w:type="spellEnd"/>
      <w:r>
        <w:t>) 2</w:t>
      </w:r>
      <w:r w:rsidR="002A4FE4">
        <w:t>.</w:t>
      </w:r>
      <w:r>
        <w:t xml:space="preserve">500 TEU σε ορίζοντα 25 ετών. Με τιμή αμμωνίας 830 </w:t>
      </w:r>
      <w:r w:rsidR="002A4FE4">
        <w:t xml:space="preserve">USD </w:t>
      </w:r>
      <w:r>
        <w:t xml:space="preserve">ανά τόνο και τιμή μαζούτ 405 </w:t>
      </w:r>
      <w:r w:rsidR="002A4FE4">
        <w:t xml:space="preserve">USD </w:t>
      </w:r>
      <w:r>
        <w:t>ανά τόνο, το κόστος</w:t>
      </w:r>
      <w:r w:rsidR="002A4FE4">
        <w:t xml:space="preserve"> </w:t>
      </w:r>
      <w:r>
        <w:t>κύκλου ζωής των επιλογών με αμμωνία ήταν 3</w:t>
      </w:r>
      <w:r w:rsidR="002A4FE4">
        <w:t>,</w:t>
      </w:r>
      <w:r>
        <w:t>5 έως 5</w:t>
      </w:r>
      <w:r w:rsidR="002A4FE4">
        <w:t>,</w:t>
      </w:r>
      <w:r>
        <w:t>2 φορές μεγαλύτερο από εκείνο του συμβατικού πλοίου και παρέμενε 1</w:t>
      </w:r>
      <w:r w:rsidR="002A4FE4">
        <w:t>,</w:t>
      </w:r>
      <w:r>
        <w:t>8 έως 3</w:t>
      </w:r>
      <w:r w:rsidR="002A4FE4">
        <w:t>,</w:t>
      </w:r>
      <w:r>
        <w:t>6 φορές υψηλότερο ακόμη και σε ισοτιμία τιμών, λόγω της υψηλότερης επένδυσης και της χαμηλότερης ενεργειακής πυκνότητας του καυσίμου· οι εκπομπές αερίων θερμοκηπίου μειώθηκαν κατά 83</w:t>
      </w:r>
      <w:r w:rsidR="002A2788">
        <w:t>,</w:t>
      </w:r>
      <w:r>
        <w:t>7 έως 92</w:t>
      </w:r>
      <w:r w:rsidR="002A2788">
        <w:t>,</w:t>
      </w:r>
      <w:r>
        <w:t>1%, όμως ο όγκος του συστήματος πρόωσης αυξήθηκε κατά έναν συντελεστή 1</w:t>
      </w:r>
      <w:r w:rsidR="002A2788">
        <w:t>,</w:t>
      </w:r>
      <w:r>
        <w:t>6 έως 2</w:t>
      </w:r>
      <w:r w:rsidR="002A2788">
        <w:t>,</w:t>
      </w:r>
      <w:r>
        <w:t>3 [</w:t>
      </w:r>
      <w:r>
        <w:fldChar w:fldCharType="begin"/>
      </w:r>
      <w:r>
        <w:instrText xml:space="preserve"> REF _Ref_cit_16 \h \* MERGEFORMAT </w:instrText>
      </w:r>
      <w:r>
        <w:fldChar w:fldCharType="separate"/>
      </w:r>
      <w:r w:rsidR="00B0043E" w:rsidRPr="00B0043E">
        <w:t>16</w:t>
      </w:r>
      <w:r>
        <w:fldChar w:fldCharType="end"/>
      </w:r>
      <w:r>
        <w:t xml:space="preserve">]. Οι τιμές αφορούν το 2019 και προηγούνται των αυξήσεων τιμών του 2022. Οι </w:t>
      </w:r>
      <w:proofErr w:type="spellStart"/>
      <w:r>
        <w:t>Zamfirescu</w:t>
      </w:r>
      <w:proofErr w:type="spellEnd"/>
      <w:r>
        <w:t xml:space="preserve"> και </w:t>
      </w:r>
      <w:proofErr w:type="spellStart"/>
      <w:r>
        <w:t>Dincer</w:t>
      </w:r>
      <w:proofErr w:type="spellEnd"/>
      <w:r>
        <w:t>, σε μια πολύ παλαιότερη σύγκριση για οδικά οχήματα με τιμές του 2008, βρήκαν ότι η αμμωνία ήταν το φθηνότερο καύσιμο ανά μονάδα ενέργειας, με 13</w:t>
      </w:r>
      <w:r w:rsidR="00FF76D9">
        <w:t>,</w:t>
      </w:r>
      <w:r>
        <w:t>3 USD/GJ έναντι 29</w:t>
      </w:r>
      <w:r w:rsidR="00FF76D9">
        <w:t>,</w:t>
      </w:r>
      <w:r>
        <w:t>1 για τη βενζίνη [</w:t>
      </w:r>
      <w:r>
        <w:fldChar w:fldCharType="begin"/>
      </w:r>
      <w:r>
        <w:instrText xml:space="preserve"> REF _Ref_cit_19 \h \* MERGEFORMAT </w:instrText>
      </w:r>
      <w:r>
        <w:fldChar w:fldCharType="separate"/>
      </w:r>
      <w:r w:rsidR="00B0043E" w:rsidRPr="00B0043E">
        <w:t>19</w:t>
      </w:r>
      <w:r>
        <w:fldChar w:fldCharType="end"/>
      </w:r>
      <w:r>
        <w:t>], γεγονός που δείχνει ότι το χαμηλό κόστος της αμμωνίας ως χημικής ουσίας δεν έχει μεταφραστεί σε χαμηλό κόστος της πράσινης αμμωνίας για τη ναυτιλία.</w:t>
      </w:r>
    </w:p>
    <w:p w14:paraId="6A39B65E" w14:textId="1FFE2535" w:rsidR="00DE3C3C" w:rsidRDefault="003C7DFB">
      <w:pPr>
        <w:spacing w:line="360" w:lineRule="auto"/>
        <w:ind w:firstLine="576"/>
        <w:jc w:val="both"/>
      </w:pPr>
      <w:r>
        <w:t xml:space="preserve">Για το υδρογόνο, οι </w:t>
      </w:r>
      <w:proofErr w:type="spellStart"/>
      <w:r>
        <w:t>Atilhan</w:t>
      </w:r>
      <w:proofErr w:type="spellEnd"/>
      <w:r>
        <w:t xml:space="preserve"> </w:t>
      </w:r>
      <w:proofErr w:type="spellStart"/>
      <w:r>
        <w:t>et</w:t>
      </w:r>
      <w:proofErr w:type="spellEnd"/>
      <w:r>
        <w:t xml:space="preserve"> </w:t>
      </w:r>
      <w:proofErr w:type="spellStart"/>
      <w:r>
        <w:t>al</w:t>
      </w:r>
      <w:proofErr w:type="spellEnd"/>
      <w:r>
        <w:t xml:space="preserve">. αναφέρουν ότι το υγρό υδρογόνο από ανανεώσιμη ενέργεια κοστίζει τρεις έως τέσσερις φορές περισσότερο από το υδρογόνο από φυσικό αέριο, ότι η υγροποίηση καταναλώνει περίπου το 30% της ενέργειάς του και ότι οι εκπομπές του σε βάση «από την </w:t>
      </w:r>
      <w:r w:rsidR="009A17D4">
        <w:t>παραγωγή</w:t>
      </w:r>
      <w:r>
        <w:t xml:space="preserve"> έως τη δεξαμενή» (</w:t>
      </w:r>
      <w:proofErr w:type="spellStart"/>
      <w:r>
        <w:t>well-to-tank</w:t>
      </w:r>
      <w:proofErr w:type="spellEnd"/>
      <w:r>
        <w:t xml:space="preserve">) κυμαίνονται από 120 έως 155 </w:t>
      </w:r>
      <w:proofErr w:type="spellStart"/>
      <w:r>
        <w:t>gCO₂e</w:t>
      </w:r>
      <w:proofErr w:type="spellEnd"/>
      <w:r>
        <w:t xml:space="preserve">/MJ για υδρογόνο από φυσικό αέριο χωρίς δέσμευση, πάνω από εκείνες του </w:t>
      </w:r>
      <w:proofErr w:type="spellStart"/>
      <w:r>
        <w:t>βαρέος</w:t>
      </w:r>
      <w:proofErr w:type="spellEnd"/>
      <w:r>
        <w:t xml:space="preserve"> μαζούτ, έως 4</w:t>
      </w:r>
      <w:r w:rsidR="009A17D4">
        <w:t>,</w:t>
      </w:r>
      <w:r>
        <w:t xml:space="preserve">6 </w:t>
      </w:r>
      <w:proofErr w:type="spellStart"/>
      <w:r>
        <w:t>gCO₂e</w:t>
      </w:r>
      <w:proofErr w:type="spellEnd"/>
      <w:r>
        <w:t>/MJ με αιολική ηλεκτρική ενέργεια και 43</w:t>
      </w:r>
      <w:r w:rsidR="007D62CB">
        <w:t>,</w:t>
      </w:r>
      <w:r>
        <w:t>3 με ηλεκτρική ενέργεια από το δίκτυο [</w:t>
      </w:r>
      <w:r>
        <w:fldChar w:fldCharType="begin"/>
      </w:r>
      <w:r>
        <w:instrText xml:space="preserve"> REF _Ref_cit_23 \h \* MERGEFORMAT </w:instrText>
      </w:r>
      <w:r>
        <w:fldChar w:fldCharType="separate"/>
      </w:r>
      <w:r w:rsidR="00B0043E" w:rsidRPr="00B0043E">
        <w:t>23</w:t>
      </w:r>
      <w:r>
        <w:fldChar w:fldCharType="end"/>
      </w:r>
      <w:r>
        <w:t xml:space="preserve">]. Η προοπτική ανάλυση κύκλου ζωής των </w:t>
      </w:r>
      <w:proofErr w:type="spellStart"/>
      <w:r>
        <w:t>Ha</w:t>
      </w:r>
      <w:proofErr w:type="spellEnd"/>
      <w:r>
        <w:t xml:space="preserve"> </w:t>
      </w:r>
      <w:proofErr w:type="spellStart"/>
      <w:r>
        <w:t>et</w:t>
      </w:r>
      <w:proofErr w:type="spellEnd"/>
      <w:r>
        <w:t xml:space="preserve"> </w:t>
      </w:r>
      <w:proofErr w:type="spellStart"/>
      <w:r>
        <w:t>al</w:t>
      </w:r>
      <w:proofErr w:type="spellEnd"/>
      <w:r>
        <w:t>. καταλήγει στο ίδιο συμπέρασμα για τα καύσιμα</w:t>
      </w:r>
      <w:r w:rsidR="00A44C0C">
        <w:t xml:space="preserve"> που παράγονται από ανανεώσιμες πηγές</w:t>
      </w:r>
      <w:r>
        <w:t xml:space="preserve"> (e-</w:t>
      </w:r>
      <w:proofErr w:type="spellStart"/>
      <w:r>
        <w:t>fuels</w:t>
      </w:r>
      <w:proofErr w:type="spellEnd"/>
      <w:r>
        <w:t xml:space="preserve">) σε φορτηγά πλοία χύδην ξηρού </w:t>
      </w:r>
      <w:r>
        <w:lastRenderedPageBreak/>
        <w:t xml:space="preserve">φορτίου: με το ενεργειακό μείγμα ηλεκτροπαραγωγής του 2022 (560 </w:t>
      </w:r>
      <w:proofErr w:type="spellStart"/>
      <w:r>
        <w:t>gCO₂e</w:t>
      </w:r>
      <w:proofErr w:type="spellEnd"/>
      <w:r>
        <w:t>/</w:t>
      </w:r>
      <w:proofErr w:type="spellStart"/>
      <w:r>
        <w:t>kWh</w:t>
      </w:r>
      <w:proofErr w:type="spellEnd"/>
      <w:r>
        <w:t xml:space="preserve">), οι εκπομπές </w:t>
      </w:r>
      <w:proofErr w:type="spellStart"/>
      <w:r>
        <w:t>well-to-tank</w:t>
      </w:r>
      <w:proofErr w:type="spellEnd"/>
      <w:r>
        <w:t xml:space="preserve"> του υδρογόνου από ηλεκτρολύτη PEM είναι 281</w:t>
      </w:r>
      <w:r w:rsidR="00A44C0C">
        <w:t>,</w:t>
      </w:r>
      <w:r>
        <w:t xml:space="preserve">7 </w:t>
      </w:r>
      <w:proofErr w:type="spellStart"/>
      <w:r>
        <w:t>gCO₂e</w:t>
      </w:r>
      <w:proofErr w:type="spellEnd"/>
      <w:r>
        <w:t>/MJ, ενώ με αιολική ηλεκτρική ενέργεια μειώνονται σε 2</w:t>
      </w:r>
      <w:r w:rsidR="00D204AF">
        <w:t>,</w:t>
      </w:r>
      <w:r>
        <w:t xml:space="preserve">7, οπότε το όφελος των </w:t>
      </w:r>
      <w:r w:rsidR="00D204AF">
        <w:rPr>
          <w:lang w:val="en-US"/>
        </w:rPr>
        <w:t>e</w:t>
      </w:r>
      <w:r w:rsidR="00D204AF" w:rsidRPr="00D204AF">
        <w:t>-</w:t>
      </w:r>
      <w:r w:rsidR="00D204AF">
        <w:rPr>
          <w:lang w:val="en-US"/>
        </w:rPr>
        <w:t>fuels</w:t>
      </w:r>
      <w:r>
        <w:t xml:space="preserve"> εξαρτάται από την καθαρή ηλεκτρική ενέργεια και όχι από το ίδιο το καύσιμο [</w:t>
      </w:r>
      <w:r>
        <w:fldChar w:fldCharType="begin"/>
      </w:r>
      <w:r>
        <w:instrText xml:space="preserve"> REF _Ref_cit_22 \h \* MERGEFORMAT </w:instrText>
      </w:r>
      <w:r>
        <w:fldChar w:fldCharType="separate"/>
      </w:r>
      <w:r w:rsidR="00B0043E" w:rsidRPr="00B0043E">
        <w:t>22</w:t>
      </w:r>
      <w:r>
        <w:fldChar w:fldCharType="end"/>
      </w:r>
      <w:r>
        <w:t>]. Στο μοντέλο στόλου τους, ένας στόλος φορτηγών πλοίων χύδην ξηρού φορτίου που εξακολουθεί να χρησιμοποιεί βαρύ μαζούτ εκπέμπει 128 εκατομμύρια τόνους ετησίως το 2050, έναντι περίπου 10 και 11 εκατομμυρίων τόνων για στόλους με αμμωνία και υδρογόνο [</w:t>
      </w:r>
      <w:r>
        <w:fldChar w:fldCharType="begin"/>
      </w:r>
      <w:r>
        <w:instrText xml:space="preserve"> REF _Ref_cit_22 \h \* MERGEFORMAT </w:instrText>
      </w:r>
      <w:r>
        <w:fldChar w:fldCharType="separate"/>
      </w:r>
      <w:r w:rsidR="00B0043E" w:rsidRPr="00B0043E">
        <w:t>22</w:t>
      </w:r>
      <w:r>
        <w:fldChar w:fldCharType="end"/>
      </w:r>
      <w:r>
        <w:t>].</w:t>
      </w:r>
    </w:p>
    <w:p w14:paraId="431630E7" w14:textId="6F4F1B8B" w:rsidR="00DE3C3C" w:rsidRDefault="003C7DFB">
      <w:pPr>
        <w:spacing w:line="360" w:lineRule="auto"/>
        <w:ind w:firstLine="576"/>
        <w:jc w:val="both"/>
      </w:pPr>
      <w:r>
        <w:t xml:space="preserve">Για τη </w:t>
      </w:r>
      <w:proofErr w:type="spellStart"/>
      <w:r>
        <w:t>μεθανόλη</w:t>
      </w:r>
      <w:proofErr w:type="spellEnd"/>
      <w:r>
        <w:t xml:space="preserve">, οι </w:t>
      </w:r>
      <w:proofErr w:type="spellStart"/>
      <w:r>
        <w:t>Svanberg</w:t>
      </w:r>
      <w:proofErr w:type="spellEnd"/>
      <w:r>
        <w:t xml:space="preserve"> </w:t>
      </w:r>
      <w:proofErr w:type="spellStart"/>
      <w:r>
        <w:t>et</w:t>
      </w:r>
      <w:proofErr w:type="spellEnd"/>
      <w:r>
        <w:t xml:space="preserve"> </w:t>
      </w:r>
      <w:proofErr w:type="spellStart"/>
      <w:r>
        <w:t>al</w:t>
      </w:r>
      <w:proofErr w:type="spellEnd"/>
      <w:r>
        <w:t xml:space="preserve">. εκτιμούν το κόστος παραγωγής ανανεώσιμης </w:t>
      </w:r>
      <w:proofErr w:type="spellStart"/>
      <w:r>
        <w:t>μεθανόλης</w:t>
      </w:r>
      <w:proofErr w:type="spellEnd"/>
      <w:r>
        <w:t xml:space="preserve"> από βιομάζα σε 71 έως 91 EUR/</w:t>
      </w:r>
      <w:proofErr w:type="spellStart"/>
      <w:r>
        <w:t>MWh</w:t>
      </w:r>
      <w:proofErr w:type="spellEnd"/>
      <w:r>
        <w:t>, εκ των οποίων το 75 έως 90% αφορά το κεφάλαιο και την πρώτη ύλη, και καταλήγουν ότι πρέπει να γίνει φθηνότερη από το μαζούτ χαμηλής περιεκτικότητας σε θείο ώστε να επιτυγχάνεται εύλογη περίοδος αποπληρωμής [</w:t>
      </w:r>
      <w:r>
        <w:fldChar w:fldCharType="begin"/>
      </w:r>
      <w:r>
        <w:instrText xml:space="preserve"> REF _Ref_cit_26 \h \* MERGEFORMAT </w:instrText>
      </w:r>
      <w:r>
        <w:fldChar w:fldCharType="separate"/>
      </w:r>
      <w:r w:rsidR="00B0043E" w:rsidRPr="00B0043E">
        <w:t>26</w:t>
      </w:r>
      <w:r>
        <w:fldChar w:fldCharType="end"/>
      </w:r>
      <w:r>
        <w:t xml:space="preserve">]. Οι </w:t>
      </w:r>
      <w:proofErr w:type="spellStart"/>
      <w:r>
        <w:t>Liu</w:t>
      </w:r>
      <w:proofErr w:type="spellEnd"/>
      <w:r>
        <w:t xml:space="preserve"> </w:t>
      </w:r>
      <w:proofErr w:type="spellStart"/>
      <w:r>
        <w:t>et</w:t>
      </w:r>
      <w:proofErr w:type="spellEnd"/>
      <w:r>
        <w:t xml:space="preserve"> </w:t>
      </w:r>
      <w:proofErr w:type="spellStart"/>
      <w:r>
        <w:t>al</w:t>
      </w:r>
      <w:proofErr w:type="spellEnd"/>
      <w:r>
        <w:t xml:space="preserve">. προσθέτουν ότι το ανανεώσιμο υδρογόνο είναι τουλάχιστον διπλάσιο σε κόστος από το υδρογόνο από ορυκτές πηγές, και ότι η παραγωγή </w:t>
      </w:r>
      <w:proofErr w:type="spellStart"/>
      <w:r>
        <w:t>μεθανόλης</w:t>
      </w:r>
      <w:proofErr w:type="spellEnd"/>
      <w:r>
        <w:t>, περίπου 100 εκατομμύρια τόνοι ετησίως, θα μπορούσε να αυξηθεί στους 500 εκατομμύρια τόνους έως το 2050, ενώ στα σενάρια του IEA η αμμωνία καλύπτει από ένα τέταρτο έως σχεδόν το ήμισυ των ναυτιλιακών καυσίμων [</w:t>
      </w:r>
      <w:r>
        <w:fldChar w:fldCharType="begin"/>
      </w:r>
      <w:r>
        <w:instrText xml:space="preserve"> REF _Ref_cit_17 \h \* MERGEFORMAT </w:instrText>
      </w:r>
      <w:r>
        <w:fldChar w:fldCharType="separate"/>
      </w:r>
      <w:r w:rsidR="00B0043E" w:rsidRPr="00B0043E">
        <w:t>17</w:t>
      </w:r>
      <w:r>
        <w:fldChar w:fldCharType="end"/>
      </w:r>
      <w:r>
        <w:t xml:space="preserve">]. Ο </w:t>
      </w:r>
      <w:proofErr w:type="spellStart"/>
      <w:r>
        <w:t>Sogut</w:t>
      </w:r>
      <w:proofErr w:type="spellEnd"/>
      <w:r>
        <w:t xml:space="preserve"> εξέτασε την επίδραση της προσθήκης έως 20% υδρογόνου στις μηχανές πλοίων μεταφοράς εμπορευματοκιβωτίων, σε θερμοδυναμική ανάλυση χωρίς οικονομικό σκέλος [</w:t>
      </w:r>
      <w:r>
        <w:fldChar w:fldCharType="begin"/>
      </w:r>
      <w:r>
        <w:instrText xml:space="preserve"> REF _Ref_cit_21 \h \* MERGEFORMAT </w:instrText>
      </w:r>
      <w:r>
        <w:fldChar w:fldCharType="separate"/>
      </w:r>
      <w:r w:rsidR="00B0043E" w:rsidRPr="00B0043E">
        <w:t>21</w:t>
      </w:r>
      <w:r>
        <w:fldChar w:fldCharType="end"/>
      </w:r>
      <w:r>
        <w:t>]· οι υποστηριζόμενες βελτιώσεις είναι μεγάλες και η εφοδιαστική αλυσίδα του καυσίμου δεν εξετάζεται, οπότε η μελέτη παρατίθεται μόνο ως ένδειξη του ερευνητικού ενδιαφέροντος για την ανάμειξη υδρογόνου.</w:t>
      </w:r>
    </w:p>
    <w:p w14:paraId="455EF851" w14:textId="7C8E3915" w:rsidR="00DE3C3C" w:rsidRDefault="003C7DFB">
      <w:pPr>
        <w:spacing w:line="360" w:lineRule="auto"/>
        <w:ind w:firstLine="576"/>
        <w:jc w:val="both"/>
      </w:pPr>
      <w:r>
        <w:t xml:space="preserve">Οι </w:t>
      </w:r>
      <w:proofErr w:type="spellStart"/>
      <w:r>
        <w:t>Seyhan</w:t>
      </w:r>
      <w:proofErr w:type="spellEnd"/>
      <w:r>
        <w:t xml:space="preserve"> </w:t>
      </w:r>
      <w:proofErr w:type="spellStart"/>
      <w:r>
        <w:t>et</w:t>
      </w:r>
      <w:proofErr w:type="spellEnd"/>
      <w:r>
        <w:t xml:space="preserve"> </w:t>
      </w:r>
      <w:proofErr w:type="spellStart"/>
      <w:r>
        <w:t>al</w:t>
      </w:r>
      <w:proofErr w:type="spellEnd"/>
      <w:r>
        <w:t>. αξιολόγησαν την επίδραση του ETS σε φορτηγά πλοία χύδην ξηρού φορτίου που χρησιμοποιούν διαφορετικά καύσιμα, σε ορίζοντα 25 ετών και με προεξοφλητικό επιτόκιο 7% [</w:t>
      </w:r>
      <w:r>
        <w:fldChar w:fldCharType="begin"/>
      </w:r>
      <w:r>
        <w:instrText xml:space="preserve"> REF _Ref_cit_52 \h \* MERGEFORMAT </w:instrText>
      </w:r>
      <w:r>
        <w:fldChar w:fldCharType="separate"/>
      </w:r>
      <w:r w:rsidR="00B0043E" w:rsidRPr="00B0043E">
        <w:t>52</w:t>
      </w:r>
      <w:r>
        <w:fldChar w:fldCharType="end"/>
      </w:r>
      <w:r>
        <w:t>]. Το LNG μειώνει τις εκπομπές CO₂ κατά 27</w:t>
      </w:r>
      <w:r w:rsidR="00370515">
        <w:t>,</w:t>
      </w:r>
      <w:r>
        <w:t xml:space="preserve">15% και η </w:t>
      </w:r>
      <w:proofErr w:type="spellStart"/>
      <w:r>
        <w:t>μεθανόλη</w:t>
      </w:r>
      <w:proofErr w:type="spellEnd"/>
      <w:r>
        <w:t xml:space="preserve"> κατά 20</w:t>
      </w:r>
      <w:r w:rsidR="00F52316">
        <w:t>,</w:t>
      </w:r>
      <w:r>
        <w:t>60% σε σχέση με τη μηχανή ντίζελ, όμως οι εκπομπές μεθανίου αυξάνονται κατά 23</w:t>
      </w:r>
      <w:r w:rsidR="00F52316">
        <w:t>,</w:t>
      </w:r>
      <w:r>
        <w:t xml:space="preserve">92% με το LNG· το ETS αυξάνει το σταθμισμένο κόστος ενέργειας ενός πλοίου που χρησιμοποιεί βαρύ μαζούτ κατά 34% στα ταξίδια εντός ΕΕ και κατά 17% στα ταξίδια εκτός ΕΕ, ενώ το σταθμισμένο κόστος με </w:t>
      </w:r>
      <w:proofErr w:type="spellStart"/>
      <w:r>
        <w:t>bio</w:t>
      </w:r>
      <w:proofErr w:type="spellEnd"/>
      <w:r>
        <w:t xml:space="preserve">-LNG είναι 155 έως 162% υψηλότερο και με </w:t>
      </w:r>
      <w:proofErr w:type="spellStart"/>
      <w:r>
        <w:t>βιομεθανόλη</w:t>
      </w:r>
      <w:proofErr w:type="spellEnd"/>
      <w:r>
        <w:t xml:space="preserve"> 211% υψηλότερο [</w:t>
      </w:r>
      <w:r>
        <w:fldChar w:fldCharType="begin"/>
      </w:r>
      <w:r>
        <w:instrText xml:space="preserve"> REF _Ref_cit_52 \h \* MERGEFORMAT </w:instrText>
      </w:r>
      <w:r>
        <w:fldChar w:fldCharType="separate"/>
      </w:r>
      <w:r w:rsidR="00B0043E" w:rsidRPr="00B0043E">
        <w:t>52</w:t>
      </w:r>
      <w:r>
        <w:fldChar w:fldCharType="end"/>
      </w:r>
      <w:r>
        <w:t xml:space="preserve">]. Η μελέτη δεν περιλαμβάνει τα WAPS, αποτελεί όμως καλό παράδειγμα του κόστους των εναλλακτικών λύσεων με το οποίο πρέπει να συγκρίνονται τα οικονομικά των WAPS. Η </w:t>
      </w:r>
      <w:proofErr w:type="spellStart"/>
      <w:r>
        <w:t>πολυκριτηριακή</w:t>
      </w:r>
      <w:proofErr w:type="spellEnd"/>
      <w:r>
        <w:t xml:space="preserve"> μελέτη των </w:t>
      </w:r>
      <w:proofErr w:type="spellStart"/>
      <w:r>
        <w:t>Peng</w:t>
      </w:r>
      <w:proofErr w:type="spellEnd"/>
      <w:r>
        <w:t xml:space="preserve"> </w:t>
      </w:r>
      <w:proofErr w:type="spellStart"/>
      <w:r>
        <w:t>et</w:t>
      </w:r>
      <w:proofErr w:type="spellEnd"/>
      <w:r>
        <w:t xml:space="preserve"> </w:t>
      </w:r>
      <w:proofErr w:type="spellStart"/>
      <w:r>
        <w:t>al</w:t>
      </w:r>
      <w:proofErr w:type="spellEnd"/>
      <w:r>
        <w:t xml:space="preserve">., που εξετάζεται παρακάτω, χρησιμοποιεί </w:t>
      </w:r>
      <w:r>
        <w:lastRenderedPageBreak/>
        <w:t>εύρη τιμών 424</w:t>
      </w:r>
      <w:r w:rsidR="00F52316" w:rsidRPr="00F52316">
        <w:t xml:space="preserve"> </w:t>
      </w:r>
      <w:r w:rsidR="00F52316">
        <w:t>USD</w:t>
      </w:r>
      <w:r>
        <w:t xml:space="preserve"> έως 793</w:t>
      </w:r>
      <w:r w:rsidR="00F52316" w:rsidRPr="00F52316">
        <w:t xml:space="preserve"> </w:t>
      </w:r>
      <w:r w:rsidR="00F52316">
        <w:t>USD</w:t>
      </w:r>
      <w:r>
        <w:t xml:space="preserve"> ανά τόνο για το γκρι</w:t>
      </w:r>
      <w:r w:rsidR="00E36600">
        <w:t xml:space="preserve"> </w:t>
      </w:r>
      <w:r>
        <w:t>ναυτιλιακό πετρέλαιο, 800</w:t>
      </w:r>
      <w:r w:rsidR="00E36600" w:rsidRPr="00E36600">
        <w:t xml:space="preserve"> </w:t>
      </w:r>
      <w:r w:rsidR="00E36600">
        <w:t>USD</w:t>
      </w:r>
      <w:r>
        <w:t xml:space="preserve"> έως 1</w:t>
      </w:r>
      <w:r w:rsidR="00E36600">
        <w:t>.</w:t>
      </w:r>
      <w:r>
        <w:t>600</w:t>
      </w:r>
      <w:r w:rsidR="00E36600" w:rsidRPr="00E36600">
        <w:t xml:space="preserve"> </w:t>
      </w:r>
      <w:r w:rsidR="00E36600">
        <w:t>USD</w:t>
      </w:r>
      <w:r>
        <w:t xml:space="preserve"> για την e-</w:t>
      </w:r>
      <w:proofErr w:type="spellStart"/>
      <w:r>
        <w:t>μεθανόλη</w:t>
      </w:r>
      <w:proofErr w:type="spellEnd"/>
      <w:r>
        <w:t>, 650</w:t>
      </w:r>
      <w:r w:rsidR="00E36600" w:rsidRPr="00E36600">
        <w:t xml:space="preserve"> </w:t>
      </w:r>
      <w:r w:rsidR="00E36600">
        <w:t>USD</w:t>
      </w:r>
      <w:r>
        <w:t xml:space="preserve"> έως 1</w:t>
      </w:r>
      <w:r w:rsidR="00E36600">
        <w:t>.</w:t>
      </w:r>
      <w:r>
        <w:t>750</w:t>
      </w:r>
      <w:r w:rsidR="00E36600" w:rsidRPr="00E36600">
        <w:t xml:space="preserve"> </w:t>
      </w:r>
      <w:r w:rsidR="00E36600">
        <w:t>USD</w:t>
      </w:r>
      <w:r>
        <w:t xml:space="preserve"> για την e-αμμωνία, 1</w:t>
      </w:r>
      <w:r w:rsidR="00E36600">
        <w:t>.</w:t>
      </w:r>
      <w:r>
        <w:t>782</w:t>
      </w:r>
      <w:r w:rsidR="00E36600" w:rsidRPr="00E36600">
        <w:t xml:space="preserve"> </w:t>
      </w:r>
      <w:r w:rsidR="00E36600">
        <w:t>USD</w:t>
      </w:r>
      <w:r>
        <w:t xml:space="preserve"> έως 3</w:t>
      </w:r>
      <w:r w:rsidR="00E36600">
        <w:t>.</w:t>
      </w:r>
      <w:r>
        <w:t>175</w:t>
      </w:r>
      <w:r w:rsidR="00E36600" w:rsidRPr="00E36600">
        <w:t xml:space="preserve"> </w:t>
      </w:r>
      <w:r w:rsidR="00E36600">
        <w:t>USD</w:t>
      </w:r>
      <w:r>
        <w:t xml:space="preserve"> για το e-LNG και 3</w:t>
      </w:r>
      <w:r w:rsidR="00E36600">
        <w:t>.</w:t>
      </w:r>
      <w:r>
        <w:t>840</w:t>
      </w:r>
      <w:r w:rsidR="00E36600" w:rsidRPr="00E36600">
        <w:t xml:space="preserve"> </w:t>
      </w:r>
      <w:r w:rsidR="00E36600">
        <w:t>USD</w:t>
      </w:r>
      <w:r>
        <w:t xml:space="preserve"> έως 5</w:t>
      </w:r>
      <w:r w:rsidR="00E36600">
        <w:t>.</w:t>
      </w:r>
      <w:r>
        <w:t>484</w:t>
      </w:r>
      <w:r w:rsidR="00E36600" w:rsidRPr="00E36600">
        <w:t xml:space="preserve"> </w:t>
      </w:r>
      <w:r w:rsidR="00E36600">
        <w:t>USD</w:t>
      </w:r>
      <w:r>
        <w:t xml:space="preserve"> για το e-υδρογόνο, με εντάσεις </w:t>
      </w:r>
      <w:proofErr w:type="spellStart"/>
      <w:r>
        <w:t>well-to-tank</w:t>
      </w:r>
      <w:proofErr w:type="spellEnd"/>
      <w:r>
        <w:t xml:space="preserve"> 17</w:t>
      </w:r>
      <w:r w:rsidR="00E36600">
        <w:t>,</w:t>
      </w:r>
      <w:r>
        <w:t xml:space="preserve">7 </w:t>
      </w:r>
      <w:proofErr w:type="spellStart"/>
      <w:r>
        <w:t>gCO₂e</w:t>
      </w:r>
      <w:proofErr w:type="spellEnd"/>
      <w:r>
        <w:t xml:space="preserve">/MJ για το γκρι ναυτιλιακό πετρέλαιο, 121 για τη γκρι αμμωνία, 132 για το γκρι υδρογόνο και μηδενικές για τα </w:t>
      </w:r>
      <w:r w:rsidR="00E36600">
        <w:rPr>
          <w:lang w:val="en-US"/>
        </w:rPr>
        <w:t>e</w:t>
      </w:r>
      <w:r w:rsidR="00E36600" w:rsidRPr="00E36600">
        <w:t>-</w:t>
      </w:r>
      <w:r w:rsidR="00E36600">
        <w:rPr>
          <w:lang w:val="en-US"/>
        </w:rPr>
        <w:t>fuels</w:t>
      </w:r>
      <w:r>
        <w:t xml:space="preserve"> [</w:t>
      </w:r>
      <w:r>
        <w:fldChar w:fldCharType="begin"/>
      </w:r>
      <w:r>
        <w:instrText xml:space="preserve"> REF _Ref_cit_64 \h \* MERGEFORMAT </w:instrText>
      </w:r>
      <w:r>
        <w:fldChar w:fldCharType="separate"/>
      </w:r>
      <w:r w:rsidR="00B0043E" w:rsidRPr="00B0043E">
        <w:t>64</w:t>
      </w:r>
      <w:r>
        <w:fldChar w:fldCharType="end"/>
      </w:r>
      <w:r>
        <w:t>].</w:t>
      </w:r>
    </w:p>
    <w:p w14:paraId="67691291" w14:textId="77777777" w:rsidR="00DE3C3C" w:rsidRDefault="003C7DFB">
      <w:pPr>
        <w:pStyle w:val="30"/>
      </w:pPr>
      <w:bookmarkStart w:id="181" w:name="_Toc243355344"/>
      <w:r>
        <w:t xml:space="preserve">Η αιολική υποβοήθηση σε </w:t>
      </w:r>
      <w:proofErr w:type="spellStart"/>
      <w:r>
        <w:t>πολυκριτηριακή</w:t>
      </w:r>
      <w:proofErr w:type="spellEnd"/>
      <w:r>
        <w:t xml:space="preserve"> αξιολόγηση των οδών </w:t>
      </w:r>
      <w:proofErr w:type="spellStart"/>
      <w:r>
        <w:t>απανθρακοποίησης</w:t>
      </w:r>
      <w:bookmarkEnd w:id="181"/>
      <w:proofErr w:type="spellEnd"/>
    </w:p>
    <w:p w14:paraId="44FA2808" w14:textId="2555B78F" w:rsidR="00DE3C3C" w:rsidRDefault="003C7DFB">
      <w:pPr>
        <w:spacing w:line="360" w:lineRule="auto"/>
        <w:ind w:firstLine="576"/>
        <w:jc w:val="both"/>
      </w:pPr>
      <w:r>
        <w:t xml:space="preserve">Η αξιολόγηση που προσεγγίζει περισσότερο το αντικείμενο της παρούσας εργασίας είναι εκείνη των </w:t>
      </w:r>
      <w:proofErr w:type="spellStart"/>
      <w:r>
        <w:t>Peng</w:t>
      </w:r>
      <w:proofErr w:type="spellEnd"/>
      <w:r>
        <w:t xml:space="preserve"> </w:t>
      </w:r>
      <w:proofErr w:type="spellStart"/>
      <w:r>
        <w:t>et</w:t>
      </w:r>
      <w:proofErr w:type="spellEnd"/>
      <w:r>
        <w:t xml:space="preserve"> </w:t>
      </w:r>
      <w:proofErr w:type="spellStart"/>
      <w:r>
        <w:t>al</w:t>
      </w:r>
      <w:proofErr w:type="spellEnd"/>
      <w:r>
        <w:t xml:space="preserve">., οι οποίοι πραγματοποίησαν ανάλυση κύκλου ζωής σε βάση </w:t>
      </w:r>
      <w:proofErr w:type="spellStart"/>
      <w:r>
        <w:t>well-to-wake</w:t>
      </w:r>
      <w:proofErr w:type="spellEnd"/>
      <w:r>
        <w:t xml:space="preserve"> και ανάλυση κόστους κύκλου ζωής για τέσσερις κατηγορίες πλοίων μεταφοράς εμπορευματοκιβωτίων, από πλοία τροφοδοσίας 2</w:t>
      </w:r>
      <w:r w:rsidR="003D224B">
        <w:t>.</w:t>
      </w:r>
      <w:r>
        <w:t>400 TEU έως πλοία Post-</w:t>
      </w:r>
      <w:proofErr w:type="spellStart"/>
      <w:r>
        <w:t>Panamax</w:t>
      </w:r>
      <w:proofErr w:type="spellEnd"/>
      <w:r>
        <w:t>, για 172 διατάξεις συστήματος ισχύος, καυσίμου και βοηθητικού συστήματος, και οι οποίοι συμπεριέλαβαν στο κόστος τις κυρώσεις του Πλαισίου Μηδενικών Καθαρών Εκπομπών του IMO (100</w:t>
      </w:r>
      <w:r w:rsidR="00F56CA8" w:rsidRPr="00F56CA8">
        <w:t xml:space="preserve"> </w:t>
      </w:r>
      <w:r w:rsidR="00F56CA8">
        <w:t xml:space="preserve">USD </w:t>
      </w:r>
      <w:r>
        <w:t>και 380</w:t>
      </w:r>
      <w:r w:rsidR="00F56CA8" w:rsidRPr="00F56CA8">
        <w:t xml:space="preserve"> </w:t>
      </w:r>
      <w:r w:rsidR="00F56CA8">
        <w:t>USD</w:t>
      </w:r>
      <w:r>
        <w:t xml:space="preserve"> ανά τόνο ισοδύναμου CO₂ για τα ελλείμματα της πρώτης και της δεύτερης βαθμίδας) [</w:t>
      </w:r>
      <w:r>
        <w:fldChar w:fldCharType="begin"/>
      </w:r>
      <w:r>
        <w:instrText xml:space="preserve"> REF _Ref_cit_64 \h \* MERGEFORMAT </w:instrText>
      </w:r>
      <w:r>
        <w:fldChar w:fldCharType="separate"/>
      </w:r>
      <w:r w:rsidR="00B0043E" w:rsidRPr="00B0043E">
        <w:t>64</w:t>
      </w:r>
      <w:r>
        <w:fldChar w:fldCharType="end"/>
      </w:r>
      <w:r>
        <w:t>]. Η αιολική υποβοήθηση αποτελεί μία από τις βοηθητικές επιλογές, με υποτιθέμενο κεφαλαιουχικό κόστος 4</w:t>
      </w:r>
      <w:r w:rsidR="00F56CA8">
        <w:t>.</w:t>
      </w:r>
      <w:r>
        <w:t>423</w:t>
      </w:r>
      <w:r w:rsidR="00F56CA8" w:rsidRPr="00F56CA8">
        <w:t xml:space="preserve"> </w:t>
      </w:r>
      <w:r w:rsidR="00F56CA8">
        <w:t>USD</w:t>
      </w:r>
      <w:r>
        <w:t xml:space="preserve"> ανά </w:t>
      </w:r>
      <w:proofErr w:type="spellStart"/>
      <w:r>
        <w:t>kW</w:t>
      </w:r>
      <w:proofErr w:type="spellEnd"/>
      <w:r>
        <w:t>, ετήσιο λειτουργικό κόστος 3</w:t>
      </w:r>
      <w:r w:rsidR="00F56CA8">
        <w:t>,</w:t>
      </w:r>
      <w:r>
        <w:t xml:space="preserve">75% του κεφαλαιουχικού κόστους και εξοικονόμηση 5% του καυσίμου της κύριας μηχανής, ενώ εναλλακτικές επιλογές αποτελούν τα </w:t>
      </w:r>
      <w:proofErr w:type="spellStart"/>
      <w:r>
        <w:t>φωτοβολταϊκά</w:t>
      </w:r>
      <w:proofErr w:type="spellEnd"/>
      <w:r>
        <w:t xml:space="preserve"> πάνελ, τα οποία εξοικονομούν 5</w:t>
      </w:r>
      <w:r w:rsidR="00F56CA8">
        <w:t>,</w:t>
      </w:r>
      <w:r>
        <w:t xml:space="preserve">1% του καυσίμου των βοηθητικών μηχανών, και οι συσσωρευτές. Η κατάταξη χρησιμοποιεί μια στοχαστική </w:t>
      </w:r>
      <w:proofErr w:type="spellStart"/>
      <w:r>
        <w:t>πολυκριτηριακή</w:t>
      </w:r>
      <w:proofErr w:type="spellEnd"/>
      <w:r>
        <w:t xml:space="preserve"> μέθοδο, την οποία οι συγγραφείς έλεγξαν έναντι τυχαίας δειγματοληψίας των τιμών καυσίμων και έναντι γραμμικής αύξησης των τιμών κατά 100</w:t>
      </w:r>
      <w:r w:rsidR="00F56CA8" w:rsidRPr="00F56CA8">
        <w:t xml:space="preserve"> </w:t>
      </w:r>
      <w:r w:rsidR="00F56CA8">
        <w:t>USD</w:t>
      </w:r>
      <w:r>
        <w:t xml:space="preserve"> ανά τόνο ετησίως [</w:t>
      </w:r>
      <w:r>
        <w:fldChar w:fldCharType="begin"/>
      </w:r>
      <w:r>
        <w:instrText xml:space="preserve"> REF _Ref_cit_64 \h \* MERGEFORMAT </w:instrText>
      </w:r>
      <w:r>
        <w:fldChar w:fldCharType="separate"/>
      </w:r>
      <w:r w:rsidR="00B0043E" w:rsidRPr="00B0043E">
        <w:t>64</w:t>
      </w:r>
      <w:r>
        <w:fldChar w:fldCharType="end"/>
      </w:r>
      <w:r>
        <w:t>].</w:t>
      </w:r>
    </w:p>
    <w:p w14:paraId="4BDE8F33" w14:textId="691512F0" w:rsidR="00DE3C3C" w:rsidRDefault="003C7DFB">
      <w:pPr>
        <w:spacing w:line="360" w:lineRule="auto"/>
        <w:ind w:firstLine="576"/>
        <w:jc w:val="both"/>
      </w:pPr>
      <w:r>
        <w:t xml:space="preserve">Δύο αποτελέσματα ξεχωρίζουν. Η διάταξη που κατατάσσεται πρώτη και στις τέσσερις κατηγορίες πλοίων είναι ένα σύστημα καυσίμου με e-υδρογόνο και αιολική υποβοήθηση, με πιθανότητα πρώτης κατάταξης μεταξύ 68 και 85% στο βασικό σενάριο, γεγονός που δείχνει ότι η αιολική υποβοήθηση αποτελεί συστατικό της προτιμώμενης λύσης ακόμη και όταν το καύσιμο έχει ήδη μηδενικές εκπομπές </w:t>
      </w:r>
      <w:proofErr w:type="spellStart"/>
      <w:r>
        <w:t>well-to-tank</w:t>
      </w:r>
      <w:proofErr w:type="spellEnd"/>
      <w:r>
        <w:t xml:space="preserve">, καθώς μειώνει το πολύ υψηλό κόστος καυσίμου. Στην κατάταξη μόνο με βάση το κόστος κύκλου ζωής, η φθηνότερη διάταξη για τα πλοία τροφοδοσίας και τα πλοία </w:t>
      </w:r>
      <w:proofErr w:type="spellStart"/>
      <w:r>
        <w:t>Neo-Panamax</w:t>
      </w:r>
      <w:proofErr w:type="spellEnd"/>
      <w:r>
        <w:t xml:space="preserve"> είναι το συμβατικό ναυτιλιακό πετρέλαιο με αιολική υποβοήθηση, και με </w:t>
      </w:r>
      <w:proofErr w:type="spellStart"/>
      <w:r>
        <w:t>φωτοβολταϊκά</w:t>
      </w:r>
      <w:proofErr w:type="spellEnd"/>
      <w:r>
        <w:t xml:space="preserve"> πάνελ για τα πλοία ενδιάμεσου μεγέθους και Post-</w:t>
      </w:r>
      <w:proofErr w:type="spellStart"/>
      <w:r>
        <w:t>Panamax</w:t>
      </w:r>
      <w:proofErr w:type="spellEnd"/>
      <w:r>
        <w:t xml:space="preserve">, ενώ η αιολική υποβοήθηση αντισταθμίζει το κεφαλαιουχικό της κόστος μέσω της </w:t>
      </w:r>
      <w:r>
        <w:lastRenderedPageBreak/>
        <w:t xml:space="preserve">εξοικονόμησης καυσίμου· αντίθετα, καμία από τις διατάξεις με </w:t>
      </w:r>
      <w:r w:rsidR="005709C3">
        <w:rPr>
          <w:lang w:val="en-US"/>
        </w:rPr>
        <w:t>e</w:t>
      </w:r>
      <w:r w:rsidR="005709C3" w:rsidRPr="005709C3">
        <w:t>-</w:t>
      </w:r>
      <w:r w:rsidR="005709C3">
        <w:rPr>
          <w:lang w:val="en-US"/>
        </w:rPr>
        <w:t>fuels</w:t>
      </w:r>
      <w:r>
        <w:t xml:space="preserve"> ή κυψέλες καυσίμου δεν εμφανίζεται μεταξύ των 30 φθηνότερων [</w:t>
      </w:r>
      <w:r>
        <w:fldChar w:fldCharType="begin"/>
      </w:r>
      <w:r>
        <w:instrText xml:space="preserve"> REF _Ref_cit_64 \h \* MERGEFORMAT </w:instrText>
      </w:r>
      <w:r>
        <w:fldChar w:fldCharType="separate"/>
      </w:r>
      <w:r w:rsidR="00B0043E" w:rsidRPr="00B0043E">
        <w:t>64</w:t>
      </w:r>
      <w:r>
        <w:fldChar w:fldCharType="end"/>
      </w:r>
      <w:r>
        <w:t>]. Τα αποτελέσματα υποστηρίζουν επομένως τη θέση της παρούσας εργασίας ότι τα WAPS είναι συμπληρωματικά των εναλλακτικών καυσίμων και έχουν αξία και στα δύο άκρα τ</w:t>
      </w:r>
      <w:r w:rsidR="00C00F61">
        <w:t>ο</w:t>
      </w:r>
      <w:r>
        <w:t xml:space="preserve">υ φάσματος κόστους καυσίμου: είναι οικονομικά με το συμβατικό καύσιμο, όπου η εξοικονόμηση αντισταθμίζει το κεφαλαιουχικό κόστος, και με τα πολύ ακριβά </w:t>
      </w:r>
      <w:r w:rsidR="00361A44">
        <w:rPr>
          <w:lang w:val="en-US"/>
        </w:rPr>
        <w:t>e</w:t>
      </w:r>
      <w:r w:rsidR="00361A44" w:rsidRPr="00361A44">
        <w:t>-</w:t>
      </w:r>
      <w:r w:rsidR="00361A44">
        <w:rPr>
          <w:lang w:val="en-US"/>
        </w:rPr>
        <w:t>fuels</w:t>
      </w:r>
      <w:r>
        <w:t>, όπου κάθε μονάδα εξοικονομούμενου καυσίμου έχει πολύ μεγαλύτερη αξία. Οι συγγραφείς διαπιστώνουν επίσης ότι η δέσμευση άνθρακα επί του πλοίου, με ποσοστό δέσμευσης 90% και επιβάρυνση καυσίμου 21</w:t>
      </w:r>
      <w:r w:rsidR="00361A44">
        <w:t>,</w:t>
      </w:r>
      <w:r>
        <w:t>4%, αυξάνει το κόστος κύκλου ζωής ενός πλοίου τροφοδοσίας κατά 16 έως 22%, και αποτελεί ανταγωνιστική επιλογή για τη μείωση των εκπομπών από ορυκτά ή βιολογικής προέλευσης καύσιμα [</w:t>
      </w:r>
      <w:r>
        <w:fldChar w:fldCharType="begin"/>
      </w:r>
      <w:r>
        <w:instrText xml:space="preserve"> REF _Ref_cit_64 \h \* MERGEFORMAT </w:instrText>
      </w:r>
      <w:r>
        <w:fldChar w:fldCharType="separate"/>
      </w:r>
      <w:r w:rsidR="00B0043E" w:rsidRPr="00B0043E">
        <w:t>64</w:t>
      </w:r>
      <w:r>
        <w:fldChar w:fldCharType="end"/>
      </w:r>
      <w:r>
        <w:t>]. Όπως σε όλες τις μελέτες αυτού του είδους, τα αποτελέσματα εξαρτώνται από τις παραδοχές για τις τιμές και για το κόστος της αιολικής υποβοήθησης, ενώ η εξοικονόμηση 5% που υποτίθεται για τον άνεμο βρίσκεται στο κατώτερο άκρο του εύρους τιμών που συζητήθηκε στην Ενότητα 4.7.</w:t>
      </w:r>
    </w:p>
    <w:p w14:paraId="34287EA1" w14:textId="4EB4E943" w:rsidR="00DE3C3C" w:rsidRDefault="003C7DFB">
      <w:pPr>
        <w:pStyle w:val="20"/>
      </w:pPr>
      <w:bookmarkStart w:id="182" w:name="_Toc243355345"/>
      <w:r>
        <w:t>Επιπτώσεις του κανονιστικού πλαισίου στα οικονομικά των WAPS</w:t>
      </w:r>
      <w:bookmarkEnd w:id="182"/>
    </w:p>
    <w:p w14:paraId="108EBDEF" w14:textId="03A0A064" w:rsidR="00DE3C3C" w:rsidRDefault="003C7DFB">
      <w:pPr>
        <w:spacing w:line="360" w:lineRule="auto"/>
        <w:ind w:firstLine="576"/>
        <w:jc w:val="both"/>
      </w:pPr>
      <w:r>
        <w:t xml:space="preserve">Η ενότητα αυτή μετατρέπει τις κανονιστικές παραμέτρους που </w:t>
      </w:r>
      <w:proofErr w:type="spellStart"/>
      <w:r>
        <w:t>περιγράφηκαν</w:t>
      </w:r>
      <w:proofErr w:type="spellEnd"/>
      <w:r>
        <w:t xml:space="preserve"> παραπάνω σε μεγέθη που μπορούν να χρησιμοποιηθούν άμεσα στην οικονομική αξιολόγηση του Κεφαλαίου 3. Οι υπολογισμοί είναι ενδεικτικοί και εκφράζονται ανά τόνο καυσίμου ή ανά μονάδα εκπομπών του στόλου, ώστε να μπορούν αργότερα να εφαρμοστούν σε οποιοδήποτε πλοίο.</w:t>
      </w:r>
    </w:p>
    <w:p w14:paraId="4F192C53" w14:textId="1A71F27D" w:rsidR="00DE3C3C" w:rsidRDefault="003C7DFB">
      <w:pPr>
        <w:pStyle w:val="30"/>
      </w:pPr>
      <w:bookmarkStart w:id="183" w:name="_Toc243355346"/>
      <w:proofErr w:type="spellStart"/>
      <w:r>
        <w:t>Αποφευγόμενο</w:t>
      </w:r>
      <w:proofErr w:type="spellEnd"/>
      <w:r>
        <w:t xml:space="preserve"> κόστος άνθρακα ανά τόνο εξοικονομούμενου καυσίμου</w:t>
      </w:r>
      <w:bookmarkEnd w:id="183"/>
    </w:p>
    <w:p w14:paraId="13C65654" w14:textId="4EB69CE3" w:rsidR="00DE3C3C" w:rsidRDefault="003C7DFB">
      <w:pPr>
        <w:spacing w:line="360" w:lineRule="auto"/>
        <w:ind w:firstLine="576"/>
        <w:jc w:val="both"/>
      </w:pPr>
      <w:r>
        <w:t>Με τον προκαθορισμένο συντελεστή εκπομπών 3</w:t>
      </w:r>
      <w:r w:rsidR="00931172">
        <w:t>,</w:t>
      </w:r>
      <w:r>
        <w:t xml:space="preserve">114 τόνων CO₂ ανά τόνο </w:t>
      </w:r>
      <w:proofErr w:type="spellStart"/>
      <w:r>
        <w:t>βαρέος</w:t>
      </w:r>
      <w:proofErr w:type="spellEnd"/>
      <w:r>
        <w:t xml:space="preserve"> μαζούτ [</w:t>
      </w:r>
      <w:r>
        <w:fldChar w:fldCharType="begin"/>
      </w:r>
      <w:r>
        <w:instrText xml:space="preserve"> REF _Ref_cit_47 \h \* MERGEFORMAT </w:instrText>
      </w:r>
      <w:r>
        <w:fldChar w:fldCharType="separate"/>
      </w:r>
      <w:r w:rsidR="00B0043E" w:rsidRPr="00B0043E">
        <w:t>47</w:t>
      </w:r>
      <w:r>
        <w:fldChar w:fldCharType="end"/>
      </w:r>
      <w:r>
        <w:t>], κάθε τόνος καυσίμου που εξοικονομεί ένα WAPS αποτρέπει την εκπομπή 3</w:t>
      </w:r>
      <w:r w:rsidR="00535231">
        <w:t>,</w:t>
      </w:r>
      <w:r>
        <w:t>114 τόνων CO₂ και επομένως κόστος ETS ίσο με 3</w:t>
      </w:r>
      <w:r w:rsidR="00535231">
        <w:t>,</w:t>
      </w:r>
      <w:r>
        <w:t>114 × P</w:t>
      </w:r>
      <w:r>
        <w:rPr>
          <w:vertAlign w:val="subscript"/>
        </w:rPr>
        <w:t>EUA</w:t>
      </w:r>
      <w:r>
        <w:t xml:space="preserve"> × </w:t>
      </w:r>
      <w:proofErr w:type="spellStart"/>
      <w:r>
        <w:t>k</w:t>
      </w:r>
      <w:r>
        <w:rPr>
          <w:vertAlign w:val="subscript"/>
        </w:rPr>
        <w:t>cov</w:t>
      </w:r>
      <w:proofErr w:type="spellEnd"/>
      <w:r>
        <w:t xml:space="preserve"> × </w:t>
      </w:r>
      <w:proofErr w:type="spellStart"/>
      <w:r>
        <w:t>k</w:t>
      </w:r>
      <w:r>
        <w:rPr>
          <w:vertAlign w:val="subscript"/>
        </w:rPr>
        <w:t>ph</w:t>
      </w:r>
      <w:proofErr w:type="spellEnd"/>
      <w:r>
        <w:t xml:space="preserve">. Ο </w:t>
      </w:r>
      <w:r w:rsidRPr="00535231">
        <w:rPr>
          <w:b/>
          <w:bCs/>
        </w:rPr>
        <w:t>Πίνακας 1</w:t>
      </w:r>
      <w:r w:rsidR="00E002EC">
        <w:rPr>
          <w:b/>
          <w:bCs/>
        </w:rPr>
        <w:t>1</w:t>
      </w:r>
      <w:r>
        <w:t xml:space="preserve"> δίνει το αποτέλεσμα για τρεις υποτιθέμενες τιμές δικαιωμάτων, 60, 80 και 100</w:t>
      </w:r>
      <w:r w:rsidR="00535231" w:rsidRPr="00535231">
        <w:t xml:space="preserve"> </w:t>
      </w:r>
      <w:r w:rsidR="00535231">
        <w:t>EUR</w:t>
      </w:r>
      <w:r>
        <w:t xml:space="preserve"> ανά τόνο, οι οποίες αποσκοπούν να καλύψουν ένα εύλογο εύρος και όχι να προβλέψουν την αγορά, καθώς και για τα τρία επίπεδα σταδιακής εφαρμογής και τη μειωμένη κάλυψη των ταξιδιών εκτός ΕΕ. Υποτίθεται ότι τα πλοία χρησιμοποιούν καύσιμο με τον συντελεστή εκπομπών του </w:t>
      </w:r>
      <w:proofErr w:type="spellStart"/>
      <w:r>
        <w:t>βαρέος</w:t>
      </w:r>
      <w:proofErr w:type="spellEnd"/>
      <w:r>
        <w:t xml:space="preserve"> μαζούτ, ενώ η επίδραση του </w:t>
      </w:r>
      <w:r>
        <w:lastRenderedPageBreak/>
        <w:t xml:space="preserve">μεθανίου και του </w:t>
      </w:r>
      <w:proofErr w:type="spellStart"/>
      <w:r>
        <w:t>υποξειδίου</w:t>
      </w:r>
      <w:proofErr w:type="spellEnd"/>
      <w:r>
        <w:t xml:space="preserve"> του αζώτου, η οποία είναι μικρή για τα πετρελαϊκά καύσιμα, παραλείπεται.</w:t>
      </w:r>
    </w:p>
    <w:p w14:paraId="3AEA96C1" w14:textId="7CCD127F" w:rsidR="00DE3C3C" w:rsidRDefault="003C7DFB">
      <w:pPr>
        <w:pStyle w:val="af2"/>
        <w:keepNext/>
        <w:jc w:val="center"/>
        <w:rPr>
          <w:b/>
          <w:bCs/>
          <w:noProof/>
        </w:rPr>
      </w:pPr>
      <w:r>
        <w:rPr>
          <w:b/>
          <w:bCs/>
        </w:rPr>
        <w:t xml:space="preserve">Πίνακας </w:t>
      </w:r>
      <w:r w:rsidR="00E002EC">
        <w:rPr>
          <w:b/>
          <w:bCs/>
        </w:rPr>
        <w:t>11</w:t>
      </w:r>
      <w:r>
        <w:rPr>
          <w:b/>
          <w:bCs/>
        </w:rPr>
        <w:t xml:space="preserve">: </w:t>
      </w:r>
      <w:proofErr w:type="spellStart"/>
      <w:r>
        <w:rPr>
          <w:b/>
          <w:bCs/>
        </w:rPr>
        <w:t>Αποφευγόμενο</w:t>
      </w:r>
      <w:proofErr w:type="spellEnd"/>
      <w:r>
        <w:rPr>
          <w:b/>
          <w:bCs/>
        </w:rPr>
        <w:t xml:space="preserve"> κόστος ETS ανά τόνο εξοικονομούμενου καυσίμου (EUR ανά τόνο καυσίμου), για υποτιθέμενες τιμές δικαιωμάτων.</w:t>
      </w:r>
    </w:p>
    <w:tbl>
      <w:tblPr>
        <w:tblW w:w="8640"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1700"/>
        <w:gridCol w:w="1700"/>
        <w:gridCol w:w="1700"/>
        <w:gridCol w:w="1780"/>
        <w:gridCol w:w="1760"/>
      </w:tblGrid>
      <w:tr w:rsidR="00DE3C3C" w14:paraId="41268E8E" w14:textId="77777777">
        <w:trPr>
          <w:cantSplit/>
          <w:tblHeader/>
          <w:jc w:val="center"/>
        </w:trPr>
        <w:tc>
          <w:tcPr>
            <w:tcW w:w="1700" w:type="dxa"/>
            <w:shd w:val="clear" w:color="auto" w:fill="D9D9D9"/>
            <w:tcMar>
              <w:top w:w="60" w:type="dxa"/>
              <w:left w:w="100" w:type="dxa"/>
              <w:bottom w:w="60" w:type="dxa"/>
              <w:right w:w="100" w:type="dxa"/>
            </w:tcMar>
            <w:vAlign w:val="center"/>
          </w:tcPr>
          <w:p w14:paraId="54A63378" w14:textId="77777777" w:rsidR="00DE3C3C" w:rsidRDefault="003C7DFB" w:rsidP="00535231">
            <w:pPr>
              <w:spacing w:after="0" w:line="240" w:lineRule="auto"/>
              <w:jc w:val="center"/>
              <w:rPr>
                <w:sz w:val="18"/>
                <w:szCs w:val="18"/>
              </w:rPr>
            </w:pPr>
            <w:r>
              <w:rPr>
                <w:b/>
                <w:bCs/>
                <w:sz w:val="18"/>
                <w:szCs w:val="18"/>
              </w:rPr>
              <w:t>Τιμή δικαιώματος (EUR/</w:t>
            </w:r>
            <w:proofErr w:type="spellStart"/>
            <w:r>
              <w:rPr>
                <w:b/>
                <w:bCs/>
                <w:sz w:val="18"/>
                <w:szCs w:val="18"/>
              </w:rPr>
              <w:t>tCO</w:t>
            </w:r>
            <w:proofErr w:type="spellEnd"/>
            <w:r>
              <w:rPr>
                <w:b/>
                <w:bCs/>
                <w:sz w:val="18"/>
                <w:szCs w:val="18"/>
              </w:rPr>
              <w:t>₂)</w:t>
            </w:r>
          </w:p>
        </w:tc>
        <w:tc>
          <w:tcPr>
            <w:tcW w:w="1700" w:type="dxa"/>
            <w:shd w:val="clear" w:color="auto" w:fill="D9D9D9"/>
            <w:tcMar>
              <w:top w:w="60" w:type="dxa"/>
              <w:left w:w="100" w:type="dxa"/>
              <w:bottom w:w="60" w:type="dxa"/>
              <w:right w:w="100" w:type="dxa"/>
            </w:tcMar>
            <w:vAlign w:val="center"/>
          </w:tcPr>
          <w:p w14:paraId="071155C5" w14:textId="77777777" w:rsidR="00DE3C3C" w:rsidRDefault="003C7DFB" w:rsidP="00535231">
            <w:pPr>
              <w:spacing w:after="0" w:line="240" w:lineRule="auto"/>
              <w:jc w:val="center"/>
              <w:rPr>
                <w:sz w:val="18"/>
                <w:szCs w:val="18"/>
              </w:rPr>
            </w:pPr>
            <w:r>
              <w:rPr>
                <w:b/>
                <w:bCs/>
                <w:sz w:val="18"/>
                <w:szCs w:val="18"/>
              </w:rPr>
              <w:t>Σταδιακή εφαρμογή 40% (εκπομπές 2024)</w:t>
            </w:r>
          </w:p>
        </w:tc>
        <w:tc>
          <w:tcPr>
            <w:tcW w:w="1700" w:type="dxa"/>
            <w:shd w:val="clear" w:color="auto" w:fill="D9D9D9"/>
            <w:tcMar>
              <w:top w:w="60" w:type="dxa"/>
              <w:left w:w="100" w:type="dxa"/>
              <w:bottom w:w="60" w:type="dxa"/>
              <w:right w:w="100" w:type="dxa"/>
            </w:tcMar>
            <w:vAlign w:val="center"/>
          </w:tcPr>
          <w:p w14:paraId="3F140B82" w14:textId="77777777" w:rsidR="00DE3C3C" w:rsidRDefault="003C7DFB" w:rsidP="00535231">
            <w:pPr>
              <w:spacing w:after="0" w:line="240" w:lineRule="auto"/>
              <w:jc w:val="center"/>
              <w:rPr>
                <w:sz w:val="18"/>
                <w:szCs w:val="18"/>
              </w:rPr>
            </w:pPr>
            <w:r>
              <w:rPr>
                <w:b/>
                <w:bCs/>
                <w:sz w:val="18"/>
                <w:szCs w:val="18"/>
              </w:rPr>
              <w:t>Σταδιακή εφαρμογή 70% (εκπομπές 2025)</w:t>
            </w:r>
          </w:p>
        </w:tc>
        <w:tc>
          <w:tcPr>
            <w:tcW w:w="1780" w:type="dxa"/>
            <w:shd w:val="clear" w:color="auto" w:fill="D9D9D9"/>
            <w:tcMar>
              <w:top w:w="60" w:type="dxa"/>
              <w:left w:w="100" w:type="dxa"/>
              <w:bottom w:w="60" w:type="dxa"/>
              <w:right w:w="100" w:type="dxa"/>
            </w:tcMar>
            <w:vAlign w:val="center"/>
          </w:tcPr>
          <w:p w14:paraId="7F0A42C1" w14:textId="77777777" w:rsidR="00DE3C3C" w:rsidRDefault="003C7DFB" w:rsidP="00535231">
            <w:pPr>
              <w:spacing w:after="0" w:line="240" w:lineRule="auto"/>
              <w:jc w:val="center"/>
              <w:rPr>
                <w:sz w:val="18"/>
                <w:szCs w:val="18"/>
              </w:rPr>
            </w:pPr>
            <w:r>
              <w:rPr>
                <w:b/>
                <w:bCs/>
                <w:sz w:val="18"/>
                <w:szCs w:val="18"/>
              </w:rPr>
              <w:t>100%, ταξίδια εντός ΕΕ (από το 2026)</w:t>
            </w:r>
          </w:p>
        </w:tc>
        <w:tc>
          <w:tcPr>
            <w:tcW w:w="1760" w:type="dxa"/>
            <w:shd w:val="clear" w:color="auto" w:fill="D9D9D9"/>
            <w:tcMar>
              <w:top w:w="60" w:type="dxa"/>
              <w:left w:w="100" w:type="dxa"/>
              <w:bottom w:w="60" w:type="dxa"/>
              <w:right w:w="100" w:type="dxa"/>
            </w:tcMar>
            <w:vAlign w:val="center"/>
          </w:tcPr>
          <w:p w14:paraId="47AFDFB9" w14:textId="77777777" w:rsidR="00DE3C3C" w:rsidRDefault="003C7DFB" w:rsidP="00535231">
            <w:pPr>
              <w:spacing w:after="0" w:line="240" w:lineRule="auto"/>
              <w:jc w:val="center"/>
              <w:rPr>
                <w:sz w:val="18"/>
                <w:szCs w:val="18"/>
              </w:rPr>
            </w:pPr>
            <w:r>
              <w:rPr>
                <w:b/>
                <w:bCs/>
                <w:sz w:val="18"/>
                <w:szCs w:val="18"/>
              </w:rPr>
              <w:t>Σταδιακή εφαρμογή 100%, ταξίδια εκτός ΕΕ (κάλυψη 50%)</w:t>
            </w:r>
          </w:p>
        </w:tc>
      </w:tr>
      <w:tr w:rsidR="00DE3C3C" w14:paraId="55EEB02C" w14:textId="77777777">
        <w:trPr>
          <w:cantSplit/>
          <w:jc w:val="center"/>
        </w:trPr>
        <w:tc>
          <w:tcPr>
            <w:tcW w:w="1700" w:type="dxa"/>
            <w:tcMar>
              <w:top w:w="60" w:type="dxa"/>
              <w:left w:w="100" w:type="dxa"/>
              <w:bottom w:w="60" w:type="dxa"/>
              <w:right w:w="100" w:type="dxa"/>
            </w:tcMar>
            <w:vAlign w:val="center"/>
          </w:tcPr>
          <w:p w14:paraId="7F37A8F6" w14:textId="77777777" w:rsidR="00DE3C3C" w:rsidRDefault="003C7DFB" w:rsidP="00535231">
            <w:pPr>
              <w:spacing w:after="0" w:line="240" w:lineRule="auto"/>
              <w:jc w:val="center"/>
              <w:rPr>
                <w:sz w:val="18"/>
                <w:szCs w:val="18"/>
              </w:rPr>
            </w:pPr>
            <w:r>
              <w:rPr>
                <w:sz w:val="18"/>
                <w:szCs w:val="18"/>
              </w:rPr>
              <w:t>60</w:t>
            </w:r>
          </w:p>
        </w:tc>
        <w:tc>
          <w:tcPr>
            <w:tcW w:w="1700" w:type="dxa"/>
            <w:tcMar>
              <w:top w:w="60" w:type="dxa"/>
              <w:left w:w="100" w:type="dxa"/>
              <w:bottom w:w="60" w:type="dxa"/>
              <w:right w:w="100" w:type="dxa"/>
            </w:tcMar>
            <w:vAlign w:val="center"/>
          </w:tcPr>
          <w:p w14:paraId="1559DB3B" w14:textId="77777777" w:rsidR="00DE3C3C" w:rsidRDefault="003C7DFB" w:rsidP="00535231">
            <w:pPr>
              <w:spacing w:after="0" w:line="240" w:lineRule="auto"/>
              <w:jc w:val="center"/>
              <w:rPr>
                <w:sz w:val="18"/>
                <w:szCs w:val="18"/>
              </w:rPr>
            </w:pPr>
            <w:r>
              <w:rPr>
                <w:sz w:val="18"/>
                <w:szCs w:val="18"/>
              </w:rPr>
              <w:t>75</w:t>
            </w:r>
          </w:p>
        </w:tc>
        <w:tc>
          <w:tcPr>
            <w:tcW w:w="1700" w:type="dxa"/>
            <w:tcMar>
              <w:top w:w="60" w:type="dxa"/>
              <w:left w:w="100" w:type="dxa"/>
              <w:bottom w:w="60" w:type="dxa"/>
              <w:right w:w="100" w:type="dxa"/>
            </w:tcMar>
            <w:vAlign w:val="center"/>
          </w:tcPr>
          <w:p w14:paraId="333C35A2" w14:textId="77777777" w:rsidR="00DE3C3C" w:rsidRDefault="003C7DFB" w:rsidP="00535231">
            <w:pPr>
              <w:spacing w:after="0" w:line="240" w:lineRule="auto"/>
              <w:jc w:val="center"/>
              <w:rPr>
                <w:sz w:val="18"/>
                <w:szCs w:val="18"/>
              </w:rPr>
            </w:pPr>
            <w:r>
              <w:rPr>
                <w:sz w:val="18"/>
                <w:szCs w:val="18"/>
              </w:rPr>
              <w:t>131</w:t>
            </w:r>
          </w:p>
        </w:tc>
        <w:tc>
          <w:tcPr>
            <w:tcW w:w="1780" w:type="dxa"/>
            <w:tcMar>
              <w:top w:w="60" w:type="dxa"/>
              <w:left w:w="100" w:type="dxa"/>
              <w:bottom w:w="60" w:type="dxa"/>
              <w:right w:w="100" w:type="dxa"/>
            </w:tcMar>
            <w:vAlign w:val="center"/>
          </w:tcPr>
          <w:p w14:paraId="27E26178" w14:textId="77777777" w:rsidR="00DE3C3C" w:rsidRDefault="003C7DFB" w:rsidP="00535231">
            <w:pPr>
              <w:spacing w:after="0" w:line="240" w:lineRule="auto"/>
              <w:jc w:val="center"/>
              <w:rPr>
                <w:sz w:val="18"/>
                <w:szCs w:val="18"/>
              </w:rPr>
            </w:pPr>
            <w:r>
              <w:rPr>
                <w:sz w:val="18"/>
                <w:szCs w:val="18"/>
              </w:rPr>
              <w:t>187</w:t>
            </w:r>
          </w:p>
        </w:tc>
        <w:tc>
          <w:tcPr>
            <w:tcW w:w="1760" w:type="dxa"/>
            <w:tcMar>
              <w:top w:w="60" w:type="dxa"/>
              <w:left w:w="100" w:type="dxa"/>
              <w:bottom w:w="60" w:type="dxa"/>
              <w:right w:w="100" w:type="dxa"/>
            </w:tcMar>
            <w:vAlign w:val="center"/>
          </w:tcPr>
          <w:p w14:paraId="32C1F55D" w14:textId="77777777" w:rsidR="00DE3C3C" w:rsidRDefault="003C7DFB" w:rsidP="00535231">
            <w:pPr>
              <w:spacing w:after="0" w:line="240" w:lineRule="auto"/>
              <w:jc w:val="center"/>
              <w:rPr>
                <w:sz w:val="18"/>
                <w:szCs w:val="18"/>
              </w:rPr>
            </w:pPr>
            <w:r>
              <w:rPr>
                <w:sz w:val="18"/>
                <w:szCs w:val="18"/>
              </w:rPr>
              <w:t>93</w:t>
            </w:r>
          </w:p>
        </w:tc>
      </w:tr>
      <w:tr w:rsidR="00DE3C3C" w14:paraId="2249DB59" w14:textId="77777777">
        <w:trPr>
          <w:cantSplit/>
          <w:jc w:val="center"/>
        </w:trPr>
        <w:tc>
          <w:tcPr>
            <w:tcW w:w="1700" w:type="dxa"/>
            <w:tcMar>
              <w:top w:w="60" w:type="dxa"/>
              <w:left w:w="100" w:type="dxa"/>
              <w:bottom w:w="60" w:type="dxa"/>
              <w:right w:w="100" w:type="dxa"/>
            </w:tcMar>
            <w:vAlign w:val="center"/>
          </w:tcPr>
          <w:p w14:paraId="40E97B73" w14:textId="77777777" w:rsidR="00DE3C3C" w:rsidRDefault="003C7DFB" w:rsidP="00535231">
            <w:pPr>
              <w:spacing w:after="0" w:line="240" w:lineRule="auto"/>
              <w:jc w:val="center"/>
              <w:rPr>
                <w:sz w:val="18"/>
                <w:szCs w:val="18"/>
              </w:rPr>
            </w:pPr>
            <w:r>
              <w:rPr>
                <w:sz w:val="18"/>
                <w:szCs w:val="18"/>
              </w:rPr>
              <w:t>80</w:t>
            </w:r>
          </w:p>
        </w:tc>
        <w:tc>
          <w:tcPr>
            <w:tcW w:w="1700" w:type="dxa"/>
            <w:tcMar>
              <w:top w:w="60" w:type="dxa"/>
              <w:left w:w="100" w:type="dxa"/>
              <w:bottom w:w="60" w:type="dxa"/>
              <w:right w:w="100" w:type="dxa"/>
            </w:tcMar>
            <w:vAlign w:val="center"/>
          </w:tcPr>
          <w:p w14:paraId="5831C118" w14:textId="77777777" w:rsidR="00DE3C3C" w:rsidRDefault="003C7DFB" w:rsidP="00535231">
            <w:pPr>
              <w:spacing w:after="0" w:line="240" w:lineRule="auto"/>
              <w:jc w:val="center"/>
              <w:rPr>
                <w:sz w:val="18"/>
                <w:szCs w:val="18"/>
              </w:rPr>
            </w:pPr>
            <w:r>
              <w:rPr>
                <w:sz w:val="18"/>
                <w:szCs w:val="18"/>
              </w:rPr>
              <w:t>100</w:t>
            </w:r>
          </w:p>
        </w:tc>
        <w:tc>
          <w:tcPr>
            <w:tcW w:w="1700" w:type="dxa"/>
            <w:tcMar>
              <w:top w:w="60" w:type="dxa"/>
              <w:left w:w="100" w:type="dxa"/>
              <w:bottom w:w="60" w:type="dxa"/>
              <w:right w:w="100" w:type="dxa"/>
            </w:tcMar>
            <w:vAlign w:val="center"/>
          </w:tcPr>
          <w:p w14:paraId="07C99927" w14:textId="77777777" w:rsidR="00DE3C3C" w:rsidRDefault="003C7DFB" w:rsidP="00535231">
            <w:pPr>
              <w:spacing w:after="0" w:line="240" w:lineRule="auto"/>
              <w:jc w:val="center"/>
              <w:rPr>
                <w:sz w:val="18"/>
                <w:szCs w:val="18"/>
              </w:rPr>
            </w:pPr>
            <w:r>
              <w:rPr>
                <w:sz w:val="18"/>
                <w:szCs w:val="18"/>
              </w:rPr>
              <w:t>174</w:t>
            </w:r>
          </w:p>
        </w:tc>
        <w:tc>
          <w:tcPr>
            <w:tcW w:w="1780" w:type="dxa"/>
            <w:tcMar>
              <w:top w:w="60" w:type="dxa"/>
              <w:left w:w="100" w:type="dxa"/>
              <w:bottom w:w="60" w:type="dxa"/>
              <w:right w:w="100" w:type="dxa"/>
            </w:tcMar>
            <w:vAlign w:val="center"/>
          </w:tcPr>
          <w:p w14:paraId="5C052211" w14:textId="77777777" w:rsidR="00DE3C3C" w:rsidRDefault="003C7DFB" w:rsidP="00535231">
            <w:pPr>
              <w:spacing w:after="0" w:line="240" w:lineRule="auto"/>
              <w:jc w:val="center"/>
              <w:rPr>
                <w:sz w:val="18"/>
                <w:szCs w:val="18"/>
              </w:rPr>
            </w:pPr>
            <w:r>
              <w:rPr>
                <w:sz w:val="18"/>
                <w:szCs w:val="18"/>
              </w:rPr>
              <w:t>249</w:t>
            </w:r>
          </w:p>
        </w:tc>
        <w:tc>
          <w:tcPr>
            <w:tcW w:w="1760" w:type="dxa"/>
            <w:tcMar>
              <w:top w:w="60" w:type="dxa"/>
              <w:left w:w="100" w:type="dxa"/>
              <w:bottom w:w="60" w:type="dxa"/>
              <w:right w:w="100" w:type="dxa"/>
            </w:tcMar>
            <w:vAlign w:val="center"/>
          </w:tcPr>
          <w:p w14:paraId="4BF8C928" w14:textId="77777777" w:rsidR="00DE3C3C" w:rsidRDefault="003C7DFB" w:rsidP="00535231">
            <w:pPr>
              <w:spacing w:after="0" w:line="240" w:lineRule="auto"/>
              <w:jc w:val="center"/>
              <w:rPr>
                <w:sz w:val="18"/>
                <w:szCs w:val="18"/>
              </w:rPr>
            </w:pPr>
            <w:r>
              <w:rPr>
                <w:sz w:val="18"/>
                <w:szCs w:val="18"/>
              </w:rPr>
              <w:t>125</w:t>
            </w:r>
          </w:p>
        </w:tc>
      </w:tr>
      <w:tr w:rsidR="00DE3C3C" w14:paraId="4411925A" w14:textId="77777777">
        <w:trPr>
          <w:cantSplit/>
          <w:jc w:val="center"/>
        </w:trPr>
        <w:tc>
          <w:tcPr>
            <w:tcW w:w="1700" w:type="dxa"/>
            <w:tcMar>
              <w:top w:w="60" w:type="dxa"/>
              <w:left w:w="100" w:type="dxa"/>
              <w:bottom w:w="60" w:type="dxa"/>
              <w:right w:w="100" w:type="dxa"/>
            </w:tcMar>
            <w:vAlign w:val="center"/>
          </w:tcPr>
          <w:p w14:paraId="0670BAAE" w14:textId="77777777" w:rsidR="00DE3C3C" w:rsidRDefault="003C7DFB" w:rsidP="00535231">
            <w:pPr>
              <w:spacing w:after="0" w:line="240" w:lineRule="auto"/>
              <w:jc w:val="center"/>
              <w:rPr>
                <w:sz w:val="18"/>
                <w:szCs w:val="18"/>
              </w:rPr>
            </w:pPr>
            <w:r>
              <w:rPr>
                <w:sz w:val="18"/>
                <w:szCs w:val="18"/>
              </w:rPr>
              <w:t>100</w:t>
            </w:r>
          </w:p>
        </w:tc>
        <w:tc>
          <w:tcPr>
            <w:tcW w:w="1700" w:type="dxa"/>
            <w:tcMar>
              <w:top w:w="60" w:type="dxa"/>
              <w:left w:w="100" w:type="dxa"/>
              <w:bottom w:w="60" w:type="dxa"/>
              <w:right w:w="100" w:type="dxa"/>
            </w:tcMar>
            <w:vAlign w:val="center"/>
          </w:tcPr>
          <w:p w14:paraId="2DB6546B" w14:textId="77777777" w:rsidR="00DE3C3C" w:rsidRDefault="003C7DFB" w:rsidP="00535231">
            <w:pPr>
              <w:spacing w:after="0" w:line="240" w:lineRule="auto"/>
              <w:jc w:val="center"/>
              <w:rPr>
                <w:sz w:val="18"/>
                <w:szCs w:val="18"/>
              </w:rPr>
            </w:pPr>
            <w:r>
              <w:rPr>
                <w:sz w:val="18"/>
                <w:szCs w:val="18"/>
              </w:rPr>
              <w:t>125</w:t>
            </w:r>
          </w:p>
        </w:tc>
        <w:tc>
          <w:tcPr>
            <w:tcW w:w="1700" w:type="dxa"/>
            <w:tcMar>
              <w:top w:w="60" w:type="dxa"/>
              <w:left w:w="100" w:type="dxa"/>
              <w:bottom w:w="60" w:type="dxa"/>
              <w:right w:w="100" w:type="dxa"/>
            </w:tcMar>
            <w:vAlign w:val="center"/>
          </w:tcPr>
          <w:p w14:paraId="46D150FB" w14:textId="77777777" w:rsidR="00DE3C3C" w:rsidRDefault="003C7DFB" w:rsidP="00535231">
            <w:pPr>
              <w:spacing w:after="0" w:line="240" w:lineRule="auto"/>
              <w:jc w:val="center"/>
              <w:rPr>
                <w:sz w:val="18"/>
                <w:szCs w:val="18"/>
              </w:rPr>
            </w:pPr>
            <w:r>
              <w:rPr>
                <w:sz w:val="18"/>
                <w:szCs w:val="18"/>
              </w:rPr>
              <w:t>218</w:t>
            </w:r>
          </w:p>
        </w:tc>
        <w:tc>
          <w:tcPr>
            <w:tcW w:w="1780" w:type="dxa"/>
            <w:tcMar>
              <w:top w:w="60" w:type="dxa"/>
              <w:left w:w="100" w:type="dxa"/>
              <w:bottom w:w="60" w:type="dxa"/>
              <w:right w:w="100" w:type="dxa"/>
            </w:tcMar>
            <w:vAlign w:val="center"/>
          </w:tcPr>
          <w:p w14:paraId="671C8B4B" w14:textId="77777777" w:rsidR="00DE3C3C" w:rsidRDefault="003C7DFB" w:rsidP="00535231">
            <w:pPr>
              <w:spacing w:after="0" w:line="240" w:lineRule="auto"/>
              <w:jc w:val="center"/>
              <w:rPr>
                <w:sz w:val="18"/>
                <w:szCs w:val="18"/>
              </w:rPr>
            </w:pPr>
            <w:r>
              <w:rPr>
                <w:sz w:val="18"/>
                <w:szCs w:val="18"/>
              </w:rPr>
              <w:t>311</w:t>
            </w:r>
          </w:p>
        </w:tc>
        <w:tc>
          <w:tcPr>
            <w:tcW w:w="1760" w:type="dxa"/>
            <w:tcMar>
              <w:top w:w="60" w:type="dxa"/>
              <w:left w:w="100" w:type="dxa"/>
              <w:bottom w:w="60" w:type="dxa"/>
              <w:right w:w="100" w:type="dxa"/>
            </w:tcMar>
            <w:vAlign w:val="center"/>
          </w:tcPr>
          <w:p w14:paraId="4D189B7B" w14:textId="77777777" w:rsidR="00DE3C3C" w:rsidRDefault="003C7DFB" w:rsidP="00535231">
            <w:pPr>
              <w:spacing w:after="0" w:line="240" w:lineRule="auto"/>
              <w:jc w:val="center"/>
              <w:rPr>
                <w:sz w:val="18"/>
                <w:szCs w:val="18"/>
              </w:rPr>
            </w:pPr>
            <w:r>
              <w:rPr>
                <w:sz w:val="18"/>
                <w:szCs w:val="18"/>
              </w:rPr>
              <w:t>156</w:t>
            </w:r>
          </w:p>
        </w:tc>
      </w:tr>
    </w:tbl>
    <w:p w14:paraId="71286A46" w14:textId="73214501" w:rsidR="00DE3C3C" w:rsidRDefault="003C7DFB">
      <w:pPr>
        <w:spacing w:before="60" w:after="200" w:line="240" w:lineRule="auto"/>
        <w:jc w:val="both"/>
      </w:pPr>
      <w:r>
        <w:rPr>
          <w:i/>
          <w:iCs/>
          <w:sz w:val="18"/>
          <w:szCs w:val="18"/>
        </w:rPr>
        <w:t>Υπολογισμός του συγγραφέα με συντελεστή εκπομπών 3</w:t>
      </w:r>
      <w:r w:rsidR="00C2192E">
        <w:rPr>
          <w:i/>
          <w:iCs/>
          <w:sz w:val="18"/>
          <w:szCs w:val="18"/>
        </w:rPr>
        <w:t>,</w:t>
      </w:r>
      <w:r>
        <w:rPr>
          <w:i/>
          <w:iCs/>
          <w:sz w:val="18"/>
          <w:szCs w:val="18"/>
        </w:rPr>
        <w:t xml:space="preserve">114 </w:t>
      </w:r>
      <w:proofErr w:type="spellStart"/>
      <w:r>
        <w:rPr>
          <w:i/>
          <w:iCs/>
          <w:sz w:val="18"/>
          <w:szCs w:val="18"/>
        </w:rPr>
        <w:t>tCO</w:t>
      </w:r>
      <w:proofErr w:type="spellEnd"/>
      <w:r>
        <w:rPr>
          <w:i/>
          <w:iCs/>
          <w:sz w:val="18"/>
          <w:szCs w:val="18"/>
        </w:rPr>
        <w:t>₂ ανά τόνο καυσίμου [</w:t>
      </w:r>
      <w:r>
        <w:rPr>
          <w:i/>
          <w:iCs/>
          <w:sz w:val="18"/>
          <w:szCs w:val="18"/>
        </w:rPr>
        <w:fldChar w:fldCharType="begin"/>
      </w:r>
      <w:r>
        <w:rPr>
          <w:i/>
          <w:iCs/>
          <w:sz w:val="18"/>
          <w:szCs w:val="18"/>
        </w:rPr>
        <w:instrText xml:space="preserve"> REF _Ref_cit_47 \h \* MERGEFORMAT </w:instrText>
      </w:r>
      <w:r>
        <w:rPr>
          <w:i/>
          <w:iCs/>
          <w:sz w:val="18"/>
          <w:szCs w:val="18"/>
        </w:rPr>
      </w:r>
      <w:r>
        <w:rPr>
          <w:i/>
          <w:iCs/>
          <w:sz w:val="18"/>
          <w:szCs w:val="18"/>
        </w:rPr>
        <w:fldChar w:fldCharType="separate"/>
      </w:r>
      <w:r w:rsidR="00B0043E" w:rsidRPr="00B0043E">
        <w:rPr>
          <w:i/>
          <w:iCs/>
          <w:sz w:val="18"/>
          <w:szCs w:val="18"/>
        </w:rPr>
        <w:t>47</w:t>
      </w:r>
      <w:r>
        <w:rPr>
          <w:i/>
          <w:iCs/>
          <w:sz w:val="18"/>
          <w:szCs w:val="18"/>
        </w:rPr>
        <w:fldChar w:fldCharType="end"/>
      </w:r>
      <w:r>
        <w:rPr>
          <w:i/>
          <w:iCs/>
          <w:sz w:val="18"/>
          <w:szCs w:val="18"/>
        </w:rPr>
        <w:t>] και τους κανόνες κάλυψης και σταδιακής εφαρμογής της Ενότητας 4.4.2 [</w:t>
      </w:r>
      <w:r>
        <w:rPr>
          <w:i/>
          <w:iCs/>
          <w:sz w:val="18"/>
          <w:szCs w:val="18"/>
        </w:rPr>
        <w:fldChar w:fldCharType="begin"/>
      </w:r>
      <w:r>
        <w:rPr>
          <w:i/>
          <w:iCs/>
          <w:sz w:val="18"/>
          <w:szCs w:val="18"/>
        </w:rPr>
        <w:instrText xml:space="preserve"> REF _Ref_cit_51 \h \* MERGEFORMAT </w:instrText>
      </w:r>
      <w:r>
        <w:rPr>
          <w:i/>
          <w:iCs/>
          <w:sz w:val="18"/>
          <w:szCs w:val="18"/>
        </w:rPr>
      </w:r>
      <w:r>
        <w:rPr>
          <w:i/>
          <w:iCs/>
          <w:sz w:val="18"/>
          <w:szCs w:val="18"/>
        </w:rPr>
        <w:fldChar w:fldCharType="separate"/>
      </w:r>
      <w:r w:rsidR="00B0043E" w:rsidRPr="00B0043E">
        <w:rPr>
          <w:i/>
          <w:iCs/>
          <w:sz w:val="18"/>
          <w:szCs w:val="18"/>
        </w:rPr>
        <w:t>51</w:t>
      </w:r>
      <w:r>
        <w:rPr>
          <w:i/>
          <w:iCs/>
          <w:sz w:val="18"/>
          <w:szCs w:val="18"/>
        </w:rPr>
        <w:fldChar w:fldCharType="end"/>
      </w:r>
      <w:r>
        <w:rPr>
          <w:i/>
          <w:iCs/>
          <w:sz w:val="18"/>
          <w:szCs w:val="18"/>
        </w:rPr>
        <w:t>]. Οι τιμές των δικαιωμάτων αποτελούν ενδεικτικές παραδοχές.</w:t>
      </w:r>
    </w:p>
    <w:p w14:paraId="3681E8A1" w14:textId="443F6616" w:rsidR="00DE3C3C" w:rsidRDefault="003C7DFB">
      <w:pPr>
        <w:spacing w:line="360" w:lineRule="auto"/>
        <w:ind w:firstLine="576"/>
        <w:jc w:val="both"/>
      </w:pPr>
      <w:r>
        <w:t xml:space="preserve">Σε πλήρη εφαρμογή, το </w:t>
      </w:r>
      <w:proofErr w:type="spellStart"/>
      <w:r>
        <w:t>αποφευγόμενο</w:t>
      </w:r>
      <w:proofErr w:type="spellEnd"/>
      <w:r>
        <w:t xml:space="preserve"> κόστος άνθρακα ανά τόνο εξοικονομούμενου καυσίμου είναι επομένως της τάξης των 190 </w:t>
      </w:r>
      <w:r w:rsidR="003D5B53">
        <w:t xml:space="preserve">EUR </w:t>
      </w:r>
      <w:r>
        <w:t>έως 310</w:t>
      </w:r>
      <w:r w:rsidR="003D5B53" w:rsidRPr="003D5B53">
        <w:t xml:space="preserve"> </w:t>
      </w:r>
      <w:r w:rsidR="003D5B53">
        <w:t>EUR</w:t>
      </w:r>
      <w:r>
        <w:t xml:space="preserve"> στα ταξίδια εντός ΕΕ και περίπου το ήμισυ στα ταξίδια με είσοδο στην ή έξοδο από την ΕΕ, ανάλογα με την τιμή του δικαιώματος. Το ποσό αυτό προστίθεται στο </w:t>
      </w:r>
      <w:proofErr w:type="spellStart"/>
      <w:r>
        <w:t>αποφευγόμενο</w:t>
      </w:r>
      <w:proofErr w:type="spellEnd"/>
      <w:r>
        <w:t xml:space="preserve"> κόστος αγοράς του ίδιου του καυσίμου και αποτελεί τον κύριο λόγο για τον οποίο η πραγματική περίοδος αποπληρωμής των WAPS στις ευρωπαϊκές διαδρομές είναι συντομότερη από εκείνη που θα </w:t>
      </w:r>
      <w:proofErr w:type="spellStart"/>
      <w:r>
        <w:t>εκτιμούνταν</w:t>
      </w:r>
      <w:proofErr w:type="spellEnd"/>
      <w:r>
        <w:t xml:space="preserve"> μόνο με βάση την τιμή του καυσίμου. Εξηγεί επίσης γιατί η βιβλιογραφία αναγνωρίζει την τιμολόγηση του άνθρακα, μαζί με το κόστος επένδυσης και την τιμή του καυσίμου, ως έναν από τους κύριους καθοριστικούς παράγοντες της οικονομικής βιωσιμότητας των ιστίων-</w:t>
      </w:r>
      <w:proofErr w:type="spellStart"/>
      <w:r>
        <w:t>ροτόρων</w:t>
      </w:r>
      <w:proofErr w:type="spellEnd"/>
      <w:r>
        <w:t xml:space="preserve"> [</w:t>
      </w:r>
      <w:r>
        <w:fldChar w:fldCharType="begin"/>
      </w:r>
      <w:r>
        <w:instrText xml:space="preserve"> REF _Ref_cit_40 \h \* MERGEFORMAT </w:instrText>
      </w:r>
      <w:r>
        <w:fldChar w:fldCharType="separate"/>
      </w:r>
      <w:r w:rsidR="00B0043E" w:rsidRPr="00B0043E">
        <w:t>40</w:t>
      </w:r>
      <w:r>
        <w:fldChar w:fldCharType="end"/>
      </w:r>
      <w:r>
        <w:t>].</w:t>
      </w:r>
    </w:p>
    <w:p w14:paraId="30C6433A" w14:textId="3F9F1ADD" w:rsidR="00DE3C3C" w:rsidRDefault="00C22633">
      <w:pPr>
        <w:pStyle w:val="30"/>
      </w:pPr>
      <w:bookmarkStart w:id="184" w:name="_Toc243355347"/>
      <w:r>
        <w:t>Τ</w:t>
      </w:r>
      <w:r w:rsidR="003C7DFB">
        <w:t xml:space="preserve">ο πλαίσιο του </w:t>
      </w:r>
      <w:proofErr w:type="spellStart"/>
      <w:r w:rsidR="003C7DFB">
        <w:t>FuelEU</w:t>
      </w:r>
      <w:proofErr w:type="spellEnd"/>
      <w:r w:rsidR="003C7DFB">
        <w:t xml:space="preserve"> Maritime και επίδραση του συντελεστή επιβράβευσης αιολικής ενέργειας</w:t>
      </w:r>
      <w:bookmarkEnd w:id="184"/>
    </w:p>
    <w:p w14:paraId="410DE0A3" w14:textId="07203208" w:rsidR="00DE3C3C" w:rsidRDefault="003C7DFB">
      <w:pPr>
        <w:spacing w:line="360" w:lineRule="auto"/>
        <w:ind w:firstLine="576"/>
        <w:jc w:val="both"/>
      </w:pPr>
      <w:r>
        <w:t xml:space="preserve">Για την απεικόνιση του μηχανισμού του </w:t>
      </w:r>
      <w:proofErr w:type="spellStart"/>
      <w:r>
        <w:t>FuelEU</w:t>
      </w:r>
      <w:proofErr w:type="spellEnd"/>
      <w:r>
        <w:t xml:space="preserve">, θεωρείται ένα πλοίο που καίει ορυκτό μαζούτ με υποτιθέμενη ένταση αερίων θερμοκηπίου </w:t>
      </w:r>
      <w:proofErr w:type="spellStart"/>
      <w:r>
        <w:t>well-to-wake</w:t>
      </w:r>
      <w:proofErr w:type="spellEnd"/>
      <w:r>
        <w:t xml:space="preserve"> 91</w:t>
      </w:r>
      <w:r w:rsidR="00C22633">
        <w:t>,</w:t>
      </w:r>
      <w:r>
        <w:t xml:space="preserve">7 </w:t>
      </w:r>
      <w:proofErr w:type="spellStart"/>
      <w:r>
        <w:t>gCO₂e</w:t>
      </w:r>
      <w:proofErr w:type="spellEnd"/>
      <w:r>
        <w:t>/MJ, τιμή που είναι κοντά στην τιμή αναφοράς των 91</w:t>
      </w:r>
      <w:r w:rsidR="00C22633">
        <w:t>,</w:t>
      </w:r>
      <w:r>
        <w:t xml:space="preserve">16 </w:t>
      </w:r>
      <w:proofErr w:type="spellStart"/>
      <w:r>
        <w:t>gCO₂e</w:t>
      </w:r>
      <w:proofErr w:type="spellEnd"/>
      <w:r>
        <w:t xml:space="preserve">/MJ και χρησιμοποιείται εδώ ως ενδεικτική παραδοχή και όχι ως τιμή που λαμβάνεται από τον Κανονισμό. Ο </w:t>
      </w:r>
      <w:r w:rsidRPr="00C22633">
        <w:rPr>
          <w:b/>
          <w:bCs/>
        </w:rPr>
        <w:t>Πίνακας 1</w:t>
      </w:r>
      <w:r w:rsidR="00E002EC">
        <w:rPr>
          <w:b/>
          <w:bCs/>
        </w:rPr>
        <w:t>2</w:t>
      </w:r>
      <w:r>
        <w:t xml:space="preserve"> παρουσιάζει το έλλειμμα που προκύπτει, εκφρασμένο ως κύρωση ανά τόνο καυσίμου που καίγεται, εφόσον το έλλειμμα δεν καλύπτεται μέσω συγκέντρωσης (</w:t>
      </w:r>
      <w:proofErr w:type="spellStart"/>
      <w:r>
        <w:t>pooling</w:t>
      </w:r>
      <w:proofErr w:type="spellEnd"/>
      <w:r>
        <w:t>) ή αποταμίευσης (</w:t>
      </w:r>
      <w:proofErr w:type="spellStart"/>
      <w:r>
        <w:t>banking</w:t>
      </w:r>
      <w:proofErr w:type="spellEnd"/>
      <w:r>
        <w:t>), με και χωρίς συντελεστή επιβράβευσης αιολικής ενέργειας 0</w:t>
      </w:r>
      <w:r w:rsidR="00C22633">
        <w:t>,</w:t>
      </w:r>
      <w:r>
        <w:t xml:space="preserve">95. Οι τιμές πάνω από το μηδέν υποδηλώνουν έκθεση· η εφαρμογή του </w:t>
      </w:r>
      <w:proofErr w:type="spellStart"/>
      <w:r>
        <w:t>f</w:t>
      </w:r>
      <w:r>
        <w:rPr>
          <w:vertAlign w:val="subscript"/>
        </w:rPr>
        <w:t>wind</w:t>
      </w:r>
      <w:proofErr w:type="spellEnd"/>
      <w:r>
        <w:t xml:space="preserve"> = 0</w:t>
      </w:r>
      <w:r w:rsidR="00C22633">
        <w:t>,</w:t>
      </w:r>
      <w:r>
        <w:t xml:space="preserve">95 μειώνει την </w:t>
      </w:r>
      <w:r w:rsidR="00C22633">
        <w:t>πραγματική</w:t>
      </w:r>
      <w:r>
        <w:t xml:space="preserve"> ένταση σε 87</w:t>
      </w:r>
      <w:r w:rsidR="00C22633">
        <w:t>,</w:t>
      </w:r>
      <w:r>
        <w:t xml:space="preserve">1 </w:t>
      </w:r>
      <w:proofErr w:type="spellStart"/>
      <w:r>
        <w:t>gCO₂e</w:t>
      </w:r>
      <w:proofErr w:type="spellEnd"/>
      <w:r>
        <w:t>/MJ.</w:t>
      </w:r>
    </w:p>
    <w:p w14:paraId="4C6F9B84" w14:textId="3A6A6DF5" w:rsidR="00DE3C3C" w:rsidRDefault="003C7DFB">
      <w:pPr>
        <w:pStyle w:val="af2"/>
        <w:keepNext/>
        <w:jc w:val="center"/>
        <w:rPr>
          <w:b/>
          <w:bCs/>
          <w:noProof/>
        </w:rPr>
      </w:pPr>
      <w:r>
        <w:rPr>
          <w:b/>
          <w:bCs/>
        </w:rPr>
        <w:lastRenderedPageBreak/>
        <w:t>Πίνακας</w:t>
      </w:r>
      <w:r w:rsidR="00E002EC">
        <w:rPr>
          <w:b/>
          <w:bCs/>
        </w:rPr>
        <w:t xml:space="preserve"> 12</w:t>
      </w:r>
      <w:r>
        <w:rPr>
          <w:b/>
          <w:bCs/>
        </w:rPr>
        <w:t xml:space="preserve">: Ενδεικτική έκθεση σε κυρώσεις του </w:t>
      </w:r>
      <w:proofErr w:type="spellStart"/>
      <w:r>
        <w:rPr>
          <w:b/>
          <w:bCs/>
        </w:rPr>
        <w:t>FuelEU</w:t>
      </w:r>
      <w:proofErr w:type="spellEnd"/>
      <w:r>
        <w:rPr>
          <w:b/>
          <w:bCs/>
        </w:rPr>
        <w:t xml:space="preserve"> ανά τόνο καυσίμου που καίγεται, για πλοίο που κινείται με ορυκτά καύσιμα (υποτιθέμενη ένταση 91</w:t>
      </w:r>
      <w:r w:rsidR="00C22633">
        <w:rPr>
          <w:b/>
          <w:bCs/>
        </w:rPr>
        <w:t>,</w:t>
      </w:r>
      <w:r>
        <w:rPr>
          <w:b/>
          <w:bCs/>
        </w:rPr>
        <w:t xml:space="preserve">7 </w:t>
      </w:r>
      <w:proofErr w:type="spellStart"/>
      <w:r>
        <w:rPr>
          <w:b/>
          <w:bCs/>
        </w:rPr>
        <w:t>gCO₂e</w:t>
      </w:r>
      <w:proofErr w:type="spellEnd"/>
      <w:r>
        <w:rPr>
          <w:b/>
          <w:bCs/>
        </w:rPr>
        <w:t>/MJ).</w:t>
      </w:r>
    </w:p>
    <w:tbl>
      <w:tblPr>
        <w:tblW w:w="8640"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1200"/>
        <w:gridCol w:w="2100"/>
        <w:gridCol w:w="2700"/>
        <w:gridCol w:w="2640"/>
      </w:tblGrid>
      <w:tr w:rsidR="00DE3C3C" w14:paraId="19AE0F6B" w14:textId="77777777">
        <w:trPr>
          <w:cantSplit/>
          <w:tblHeader/>
          <w:jc w:val="center"/>
        </w:trPr>
        <w:tc>
          <w:tcPr>
            <w:tcW w:w="1200" w:type="dxa"/>
            <w:shd w:val="clear" w:color="auto" w:fill="D9D9D9"/>
            <w:tcMar>
              <w:top w:w="60" w:type="dxa"/>
              <w:left w:w="100" w:type="dxa"/>
              <w:bottom w:w="60" w:type="dxa"/>
              <w:right w:w="100" w:type="dxa"/>
            </w:tcMar>
            <w:vAlign w:val="center"/>
          </w:tcPr>
          <w:p w14:paraId="70ADE9AC" w14:textId="77777777" w:rsidR="00DE3C3C" w:rsidRDefault="003C7DFB" w:rsidP="00766DAF">
            <w:pPr>
              <w:spacing w:after="0" w:line="240" w:lineRule="auto"/>
              <w:jc w:val="center"/>
              <w:rPr>
                <w:sz w:val="18"/>
                <w:szCs w:val="18"/>
              </w:rPr>
            </w:pPr>
            <w:r>
              <w:rPr>
                <w:b/>
                <w:bCs/>
                <w:sz w:val="18"/>
                <w:szCs w:val="18"/>
              </w:rPr>
              <w:t>Έτος</w:t>
            </w:r>
          </w:p>
        </w:tc>
        <w:tc>
          <w:tcPr>
            <w:tcW w:w="2100" w:type="dxa"/>
            <w:shd w:val="clear" w:color="auto" w:fill="D9D9D9"/>
            <w:tcMar>
              <w:top w:w="60" w:type="dxa"/>
              <w:left w:w="100" w:type="dxa"/>
              <w:bottom w:w="60" w:type="dxa"/>
              <w:right w:w="100" w:type="dxa"/>
            </w:tcMar>
            <w:vAlign w:val="center"/>
          </w:tcPr>
          <w:p w14:paraId="5AEA59B4" w14:textId="77777777" w:rsidR="00DE3C3C" w:rsidRDefault="003C7DFB" w:rsidP="00766DAF">
            <w:pPr>
              <w:spacing w:after="0" w:line="240" w:lineRule="auto"/>
              <w:jc w:val="center"/>
              <w:rPr>
                <w:sz w:val="18"/>
                <w:szCs w:val="18"/>
              </w:rPr>
            </w:pPr>
            <w:r>
              <w:rPr>
                <w:b/>
                <w:bCs/>
                <w:sz w:val="18"/>
                <w:szCs w:val="18"/>
              </w:rPr>
              <w:t>Όριο (</w:t>
            </w:r>
            <w:proofErr w:type="spellStart"/>
            <w:r>
              <w:rPr>
                <w:b/>
                <w:bCs/>
                <w:sz w:val="18"/>
                <w:szCs w:val="18"/>
              </w:rPr>
              <w:t>gCO₂e</w:t>
            </w:r>
            <w:proofErr w:type="spellEnd"/>
            <w:r>
              <w:rPr>
                <w:b/>
                <w:bCs/>
                <w:sz w:val="18"/>
                <w:szCs w:val="18"/>
              </w:rPr>
              <w:t>/MJ)</w:t>
            </w:r>
          </w:p>
        </w:tc>
        <w:tc>
          <w:tcPr>
            <w:tcW w:w="2700" w:type="dxa"/>
            <w:shd w:val="clear" w:color="auto" w:fill="D9D9D9"/>
            <w:tcMar>
              <w:top w:w="60" w:type="dxa"/>
              <w:left w:w="100" w:type="dxa"/>
              <w:bottom w:w="60" w:type="dxa"/>
              <w:right w:w="100" w:type="dxa"/>
            </w:tcMar>
            <w:vAlign w:val="center"/>
          </w:tcPr>
          <w:p w14:paraId="6B802FB8" w14:textId="77777777" w:rsidR="00DE3C3C" w:rsidRDefault="003C7DFB" w:rsidP="00766DAF">
            <w:pPr>
              <w:spacing w:after="0" w:line="240" w:lineRule="auto"/>
              <w:jc w:val="center"/>
              <w:rPr>
                <w:sz w:val="18"/>
                <w:szCs w:val="18"/>
              </w:rPr>
            </w:pPr>
            <w:r>
              <w:rPr>
                <w:b/>
                <w:bCs/>
                <w:sz w:val="18"/>
                <w:szCs w:val="18"/>
              </w:rPr>
              <w:t>Κύρωση χωρίς επιβράβευση αιολικής ενέργειας (EUR/t)</w:t>
            </w:r>
          </w:p>
        </w:tc>
        <w:tc>
          <w:tcPr>
            <w:tcW w:w="2640" w:type="dxa"/>
            <w:shd w:val="clear" w:color="auto" w:fill="D9D9D9"/>
            <w:tcMar>
              <w:top w:w="60" w:type="dxa"/>
              <w:left w:w="100" w:type="dxa"/>
              <w:bottom w:w="60" w:type="dxa"/>
              <w:right w:w="100" w:type="dxa"/>
            </w:tcMar>
            <w:vAlign w:val="center"/>
          </w:tcPr>
          <w:p w14:paraId="2FB3A42D" w14:textId="77777777" w:rsidR="00DE3C3C" w:rsidRDefault="003C7DFB" w:rsidP="00766DAF">
            <w:pPr>
              <w:spacing w:after="0" w:line="240" w:lineRule="auto"/>
              <w:jc w:val="center"/>
              <w:rPr>
                <w:sz w:val="18"/>
                <w:szCs w:val="18"/>
              </w:rPr>
            </w:pPr>
            <w:r>
              <w:rPr>
                <w:b/>
                <w:bCs/>
                <w:sz w:val="18"/>
                <w:szCs w:val="18"/>
              </w:rPr>
              <w:t xml:space="preserve">Κύρωση με </w:t>
            </w:r>
            <w:proofErr w:type="spellStart"/>
            <w:r>
              <w:rPr>
                <w:b/>
                <w:bCs/>
                <w:sz w:val="18"/>
                <w:szCs w:val="18"/>
              </w:rPr>
              <w:t>f</w:t>
            </w:r>
            <w:r>
              <w:rPr>
                <w:b/>
                <w:bCs/>
                <w:sz w:val="18"/>
                <w:szCs w:val="18"/>
                <w:vertAlign w:val="subscript"/>
              </w:rPr>
              <w:t>wind</w:t>
            </w:r>
            <w:proofErr w:type="spellEnd"/>
            <w:r>
              <w:rPr>
                <w:b/>
                <w:bCs/>
                <w:sz w:val="18"/>
                <w:szCs w:val="18"/>
              </w:rPr>
              <w:t xml:space="preserve"> = 0.95 (EUR/t)</w:t>
            </w:r>
          </w:p>
        </w:tc>
      </w:tr>
      <w:tr w:rsidR="00DE3C3C" w14:paraId="2B49C15F" w14:textId="77777777">
        <w:trPr>
          <w:cantSplit/>
          <w:jc w:val="center"/>
        </w:trPr>
        <w:tc>
          <w:tcPr>
            <w:tcW w:w="1200" w:type="dxa"/>
            <w:tcMar>
              <w:top w:w="60" w:type="dxa"/>
              <w:left w:w="100" w:type="dxa"/>
              <w:bottom w:w="60" w:type="dxa"/>
              <w:right w:w="100" w:type="dxa"/>
            </w:tcMar>
            <w:vAlign w:val="center"/>
          </w:tcPr>
          <w:p w14:paraId="459230C5" w14:textId="77777777" w:rsidR="00DE3C3C" w:rsidRDefault="003C7DFB" w:rsidP="00766DAF">
            <w:pPr>
              <w:spacing w:after="0" w:line="240" w:lineRule="auto"/>
              <w:jc w:val="center"/>
              <w:rPr>
                <w:sz w:val="18"/>
                <w:szCs w:val="18"/>
              </w:rPr>
            </w:pPr>
            <w:r>
              <w:rPr>
                <w:sz w:val="18"/>
                <w:szCs w:val="18"/>
              </w:rPr>
              <w:t>2025</w:t>
            </w:r>
          </w:p>
        </w:tc>
        <w:tc>
          <w:tcPr>
            <w:tcW w:w="2100" w:type="dxa"/>
            <w:tcMar>
              <w:top w:w="60" w:type="dxa"/>
              <w:left w:w="100" w:type="dxa"/>
              <w:bottom w:w="60" w:type="dxa"/>
              <w:right w:w="100" w:type="dxa"/>
            </w:tcMar>
            <w:vAlign w:val="center"/>
          </w:tcPr>
          <w:p w14:paraId="1465D88D" w14:textId="123DC893" w:rsidR="00DE3C3C" w:rsidRDefault="003C7DFB" w:rsidP="00766DAF">
            <w:pPr>
              <w:spacing w:after="0" w:line="240" w:lineRule="auto"/>
              <w:jc w:val="center"/>
              <w:rPr>
                <w:sz w:val="18"/>
                <w:szCs w:val="18"/>
              </w:rPr>
            </w:pPr>
            <w:r>
              <w:rPr>
                <w:sz w:val="18"/>
                <w:szCs w:val="18"/>
              </w:rPr>
              <w:t>89</w:t>
            </w:r>
            <w:r w:rsidR="00C22633">
              <w:rPr>
                <w:sz w:val="18"/>
                <w:szCs w:val="18"/>
              </w:rPr>
              <w:t>,</w:t>
            </w:r>
            <w:r>
              <w:rPr>
                <w:sz w:val="18"/>
                <w:szCs w:val="18"/>
              </w:rPr>
              <w:t>34</w:t>
            </w:r>
          </w:p>
        </w:tc>
        <w:tc>
          <w:tcPr>
            <w:tcW w:w="2700" w:type="dxa"/>
            <w:tcMar>
              <w:top w:w="60" w:type="dxa"/>
              <w:left w:w="100" w:type="dxa"/>
              <w:bottom w:w="60" w:type="dxa"/>
              <w:right w:w="100" w:type="dxa"/>
            </w:tcMar>
            <w:vAlign w:val="center"/>
          </w:tcPr>
          <w:p w14:paraId="22314AAD" w14:textId="77777777" w:rsidR="00DE3C3C" w:rsidRDefault="003C7DFB" w:rsidP="00766DAF">
            <w:pPr>
              <w:spacing w:after="0" w:line="240" w:lineRule="auto"/>
              <w:jc w:val="center"/>
              <w:rPr>
                <w:sz w:val="18"/>
                <w:szCs w:val="18"/>
              </w:rPr>
            </w:pPr>
            <w:r>
              <w:rPr>
                <w:sz w:val="18"/>
                <w:szCs w:val="18"/>
              </w:rPr>
              <w:t>62</w:t>
            </w:r>
          </w:p>
        </w:tc>
        <w:tc>
          <w:tcPr>
            <w:tcW w:w="2640" w:type="dxa"/>
            <w:tcMar>
              <w:top w:w="60" w:type="dxa"/>
              <w:left w:w="100" w:type="dxa"/>
              <w:bottom w:w="60" w:type="dxa"/>
              <w:right w:w="100" w:type="dxa"/>
            </w:tcMar>
            <w:vAlign w:val="center"/>
          </w:tcPr>
          <w:p w14:paraId="580AA431" w14:textId="77777777" w:rsidR="00DE3C3C" w:rsidRDefault="003C7DFB" w:rsidP="00766DAF">
            <w:pPr>
              <w:spacing w:after="0" w:line="240" w:lineRule="auto"/>
              <w:jc w:val="center"/>
              <w:rPr>
                <w:sz w:val="18"/>
                <w:szCs w:val="18"/>
              </w:rPr>
            </w:pPr>
            <w:r>
              <w:rPr>
                <w:sz w:val="18"/>
                <w:szCs w:val="18"/>
              </w:rPr>
              <w:t>0 (πλεόνασμα)</w:t>
            </w:r>
          </w:p>
        </w:tc>
      </w:tr>
      <w:tr w:rsidR="00DE3C3C" w14:paraId="787F782A" w14:textId="77777777">
        <w:trPr>
          <w:cantSplit/>
          <w:jc w:val="center"/>
        </w:trPr>
        <w:tc>
          <w:tcPr>
            <w:tcW w:w="1200" w:type="dxa"/>
            <w:tcMar>
              <w:top w:w="60" w:type="dxa"/>
              <w:left w:w="100" w:type="dxa"/>
              <w:bottom w:w="60" w:type="dxa"/>
              <w:right w:w="100" w:type="dxa"/>
            </w:tcMar>
            <w:vAlign w:val="center"/>
          </w:tcPr>
          <w:p w14:paraId="478C1D9F" w14:textId="77777777" w:rsidR="00DE3C3C" w:rsidRDefault="003C7DFB" w:rsidP="00766DAF">
            <w:pPr>
              <w:spacing w:after="0" w:line="240" w:lineRule="auto"/>
              <w:jc w:val="center"/>
              <w:rPr>
                <w:sz w:val="18"/>
                <w:szCs w:val="18"/>
              </w:rPr>
            </w:pPr>
            <w:r>
              <w:rPr>
                <w:sz w:val="18"/>
                <w:szCs w:val="18"/>
              </w:rPr>
              <w:t>2030</w:t>
            </w:r>
          </w:p>
        </w:tc>
        <w:tc>
          <w:tcPr>
            <w:tcW w:w="2100" w:type="dxa"/>
            <w:tcMar>
              <w:top w:w="60" w:type="dxa"/>
              <w:left w:w="100" w:type="dxa"/>
              <w:bottom w:w="60" w:type="dxa"/>
              <w:right w:w="100" w:type="dxa"/>
            </w:tcMar>
            <w:vAlign w:val="center"/>
          </w:tcPr>
          <w:p w14:paraId="65593ADF" w14:textId="48B41F54" w:rsidR="00DE3C3C" w:rsidRDefault="003C7DFB" w:rsidP="00766DAF">
            <w:pPr>
              <w:spacing w:after="0" w:line="240" w:lineRule="auto"/>
              <w:jc w:val="center"/>
              <w:rPr>
                <w:sz w:val="18"/>
                <w:szCs w:val="18"/>
              </w:rPr>
            </w:pPr>
            <w:r>
              <w:rPr>
                <w:sz w:val="18"/>
                <w:szCs w:val="18"/>
              </w:rPr>
              <w:t>85</w:t>
            </w:r>
            <w:r w:rsidR="00C22633">
              <w:rPr>
                <w:sz w:val="18"/>
                <w:szCs w:val="18"/>
              </w:rPr>
              <w:t>,</w:t>
            </w:r>
            <w:r>
              <w:rPr>
                <w:sz w:val="18"/>
                <w:szCs w:val="18"/>
              </w:rPr>
              <w:t>69</w:t>
            </w:r>
          </w:p>
        </w:tc>
        <w:tc>
          <w:tcPr>
            <w:tcW w:w="2700" w:type="dxa"/>
            <w:tcMar>
              <w:top w:w="60" w:type="dxa"/>
              <w:left w:w="100" w:type="dxa"/>
              <w:bottom w:w="60" w:type="dxa"/>
              <w:right w:w="100" w:type="dxa"/>
            </w:tcMar>
            <w:vAlign w:val="center"/>
          </w:tcPr>
          <w:p w14:paraId="2B345C3F" w14:textId="77777777" w:rsidR="00DE3C3C" w:rsidRDefault="003C7DFB" w:rsidP="00766DAF">
            <w:pPr>
              <w:spacing w:after="0" w:line="240" w:lineRule="auto"/>
              <w:jc w:val="center"/>
              <w:rPr>
                <w:sz w:val="18"/>
                <w:szCs w:val="18"/>
              </w:rPr>
            </w:pPr>
            <w:r>
              <w:rPr>
                <w:sz w:val="18"/>
                <w:szCs w:val="18"/>
              </w:rPr>
              <w:t>157</w:t>
            </w:r>
          </w:p>
        </w:tc>
        <w:tc>
          <w:tcPr>
            <w:tcW w:w="2640" w:type="dxa"/>
            <w:tcMar>
              <w:top w:w="60" w:type="dxa"/>
              <w:left w:w="100" w:type="dxa"/>
              <w:bottom w:w="60" w:type="dxa"/>
              <w:right w:w="100" w:type="dxa"/>
            </w:tcMar>
            <w:vAlign w:val="center"/>
          </w:tcPr>
          <w:p w14:paraId="12C3B18F" w14:textId="77777777" w:rsidR="00DE3C3C" w:rsidRDefault="003C7DFB" w:rsidP="00766DAF">
            <w:pPr>
              <w:spacing w:after="0" w:line="240" w:lineRule="auto"/>
              <w:jc w:val="center"/>
              <w:rPr>
                <w:sz w:val="18"/>
                <w:szCs w:val="18"/>
              </w:rPr>
            </w:pPr>
            <w:r>
              <w:rPr>
                <w:sz w:val="18"/>
                <w:szCs w:val="18"/>
              </w:rPr>
              <w:t>39</w:t>
            </w:r>
          </w:p>
        </w:tc>
      </w:tr>
      <w:tr w:rsidR="00DE3C3C" w14:paraId="7F7135C0" w14:textId="77777777">
        <w:trPr>
          <w:cantSplit/>
          <w:jc w:val="center"/>
        </w:trPr>
        <w:tc>
          <w:tcPr>
            <w:tcW w:w="1200" w:type="dxa"/>
            <w:tcMar>
              <w:top w:w="60" w:type="dxa"/>
              <w:left w:w="100" w:type="dxa"/>
              <w:bottom w:w="60" w:type="dxa"/>
              <w:right w:w="100" w:type="dxa"/>
            </w:tcMar>
            <w:vAlign w:val="center"/>
          </w:tcPr>
          <w:p w14:paraId="4D31CC75" w14:textId="77777777" w:rsidR="00DE3C3C" w:rsidRDefault="003C7DFB" w:rsidP="00766DAF">
            <w:pPr>
              <w:spacing w:after="0" w:line="240" w:lineRule="auto"/>
              <w:jc w:val="center"/>
              <w:rPr>
                <w:sz w:val="18"/>
                <w:szCs w:val="18"/>
              </w:rPr>
            </w:pPr>
            <w:r>
              <w:rPr>
                <w:sz w:val="18"/>
                <w:szCs w:val="18"/>
              </w:rPr>
              <w:t>2035</w:t>
            </w:r>
          </w:p>
        </w:tc>
        <w:tc>
          <w:tcPr>
            <w:tcW w:w="2100" w:type="dxa"/>
            <w:tcMar>
              <w:top w:w="60" w:type="dxa"/>
              <w:left w:w="100" w:type="dxa"/>
              <w:bottom w:w="60" w:type="dxa"/>
              <w:right w:w="100" w:type="dxa"/>
            </w:tcMar>
            <w:vAlign w:val="center"/>
          </w:tcPr>
          <w:p w14:paraId="0A7D7F3F" w14:textId="6B615A90" w:rsidR="00DE3C3C" w:rsidRDefault="003C7DFB" w:rsidP="00766DAF">
            <w:pPr>
              <w:spacing w:after="0" w:line="240" w:lineRule="auto"/>
              <w:jc w:val="center"/>
              <w:rPr>
                <w:sz w:val="18"/>
                <w:szCs w:val="18"/>
              </w:rPr>
            </w:pPr>
            <w:r>
              <w:rPr>
                <w:sz w:val="18"/>
                <w:szCs w:val="18"/>
              </w:rPr>
              <w:t>77</w:t>
            </w:r>
            <w:r w:rsidR="00C22633">
              <w:rPr>
                <w:sz w:val="18"/>
                <w:szCs w:val="18"/>
              </w:rPr>
              <w:t>,</w:t>
            </w:r>
            <w:r>
              <w:rPr>
                <w:sz w:val="18"/>
                <w:szCs w:val="18"/>
              </w:rPr>
              <w:t>94</w:t>
            </w:r>
          </w:p>
        </w:tc>
        <w:tc>
          <w:tcPr>
            <w:tcW w:w="2700" w:type="dxa"/>
            <w:tcMar>
              <w:top w:w="60" w:type="dxa"/>
              <w:left w:w="100" w:type="dxa"/>
              <w:bottom w:w="60" w:type="dxa"/>
              <w:right w:w="100" w:type="dxa"/>
            </w:tcMar>
            <w:vAlign w:val="center"/>
          </w:tcPr>
          <w:p w14:paraId="0B874618" w14:textId="77777777" w:rsidR="00DE3C3C" w:rsidRDefault="003C7DFB" w:rsidP="00766DAF">
            <w:pPr>
              <w:spacing w:after="0" w:line="240" w:lineRule="auto"/>
              <w:jc w:val="center"/>
              <w:rPr>
                <w:sz w:val="18"/>
                <w:szCs w:val="18"/>
              </w:rPr>
            </w:pPr>
            <w:r>
              <w:rPr>
                <w:sz w:val="18"/>
                <w:szCs w:val="18"/>
              </w:rPr>
              <w:t>360</w:t>
            </w:r>
          </w:p>
        </w:tc>
        <w:tc>
          <w:tcPr>
            <w:tcW w:w="2640" w:type="dxa"/>
            <w:tcMar>
              <w:top w:w="60" w:type="dxa"/>
              <w:left w:w="100" w:type="dxa"/>
              <w:bottom w:w="60" w:type="dxa"/>
              <w:right w:w="100" w:type="dxa"/>
            </w:tcMar>
            <w:vAlign w:val="center"/>
          </w:tcPr>
          <w:p w14:paraId="5F98AEA7" w14:textId="77777777" w:rsidR="00DE3C3C" w:rsidRDefault="003C7DFB" w:rsidP="00766DAF">
            <w:pPr>
              <w:spacing w:after="0" w:line="240" w:lineRule="auto"/>
              <w:jc w:val="center"/>
              <w:rPr>
                <w:sz w:val="18"/>
                <w:szCs w:val="18"/>
              </w:rPr>
            </w:pPr>
            <w:r>
              <w:rPr>
                <w:sz w:val="18"/>
                <w:szCs w:val="18"/>
              </w:rPr>
              <w:t>253</w:t>
            </w:r>
          </w:p>
        </w:tc>
      </w:tr>
      <w:tr w:rsidR="00DE3C3C" w14:paraId="25D08F8C" w14:textId="77777777">
        <w:trPr>
          <w:cantSplit/>
          <w:jc w:val="center"/>
        </w:trPr>
        <w:tc>
          <w:tcPr>
            <w:tcW w:w="1200" w:type="dxa"/>
            <w:tcMar>
              <w:top w:w="60" w:type="dxa"/>
              <w:left w:w="100" w:type="dxa"/>
              <w:bottom w:w="60" w:type="dxa"/>
              <w:right w:w="100" w:type="dxa"/>
            </w:tcMar>
            <w:vAlign w:val="center"/>
          </w:tcPr>
          <w:p w14:paraId="3527F4F8" w14:textId="77777777" w:rsidR="00DE3C3C" w:rsidRDefault="003C7DFB" w:rsidP="00766DAF">
            <w:pPr>
              <w:spacing w:after="0" w:line="240" w:lineRule="auto"/>
              <w:jc w:val="center"/>
              <w:rPr>
                <w:sz w:val="18"/>
                <w:szCs w:val="18"/>
              </w:rPr>
            </w:pPr>
            <w:r>
              <w:rPr>
                <w:sz w:val="18"/>
                <w:szCs w:val="18"/>
              </w:rPr>
              <w:t>2040</w:t>
            </w:r>
          </w:p>
        </w:tc>
        <w:tc>
          <w:tcPr>
            <w:tcW w:w="2100" w:type="dxa"/>
            <w:tcMar>
              <w:top w:w="60" w:type="dxa"/>
              <w:left w:w="100" w:type="dxa"/>
              <w:bottom w:w="60" w:type="dxa"/>
              <w:right w:w="100" w:type="dxa"/>
            </w:tcMar>
            <w:vAlign w:val="center"/>
          </w:tcPr>
          <w:p w14:paraId="58EDAF6D" w14:textId="6DA9A65A" w:rsidR="00DE3C3C" w:rsidRDefault="003C7DFB" w:rsidP="00766DAF">
            <w:pPr>
              <w:spacing w:after="0" w:line="240" w:lineRule="auto"/>
              <w:jc w:val="center"/>
              <w:rPr>
                <w:sz w:val="18"/>
                <w:szCs w:val="18"/>
              </w:rPr>
            </w:pPr>
            <w:r>
              <w:rPr>
                <w:sz w:val="18"/>
                <w:szCs w:val="18"/>
              </w:rPr>
              <w:t>62</w:t>
            </w:r>
            <w:r w:rsidR="00C22633">
              <w:rPr>
                <w:sz w:val="18"/>
                <w:szCs w:val="18"/>
              </w:rPr>
              <w:t>,</w:t>
            </w:r>
            <w:r>
              <w:rPr>
                <w:sz w:val="18"/>
                <w:szCs w:val="18"/>
              </w:rPr>
              <w:t>90</w:t>
            </w:r>
          </w:p>
        </w:tc>
        <w:tc>
          <w:tcPr>
            <w:tcW w:w="2700" w:type="dxa"/>
            <w:tcMar>
              <w:top w:w="60" w:type="dxa"/>
              <w:left w:w="100" w:type="dxa"/>
              <w:bottom w:w="60" w:type="dxa"/>
              <w:right w:w="100" w:type="dxa"/>
            </w:tcMar>
            <w:vAlign w:val="center"/>
          </w:tcPr>
          <w:p w14:paraId="316FC091" w14:textId="77777777" w:rsidR="00DE3C3C" w:rsidRDefault="003C7DFB" w:rsidP="00766DAF">
            <w:pPr>
              <w:spacing w:after="0" w:line="240" w:lineRule="auto"/>
              <w:jc w:val="center"/>
              <w:rPr>
                <w:sz w:val="18"/>
                <w:szCs w:val="18"/>
              </w:rPr>
            </w:pPr>
            <w:r>
              <w:rPr>
                <w:sz w:val="18"/>
                <w:szCs w:val="18"/>
              </w:rPr>
              <w:t>754</w:t>
            </w:r>
          </w:p>
        </w:tc>
        <w:tc>
          <w:tcPr>
            <w:tcW w:w="2640" w:type="dxa"/>
            <w:tcMar>
              <w:top w:w="60" w:type="dxa"/>
              <w:left w:w="100" w:type="dxa"/>
              <w:bottom w:w="60" w:type="dxa"/>
              <w:right w:w="100" w:type="dxa"/>
            </w:tcMar>
            <w:vAlign w:val="center"/>
          </w:tcPr>
          <w:p w14:paraId="273B3798" w14:textId="77777777" w:rsidR="00DE3C3C" w:rsidRDefault="003C7DFB" w:rsidP="00766DAF">
            <w:pPr>
              <w:spacing w:after="0" w:line="240" w:lineRule="auto"/>
              <w:jc w:val="center"/>
              <w:rPr>
                <w:sz w:val="18"/>
                <w:szCs w:val="18"/>
              </w:rPr>
            </w:pPr>
            <w:r>
              <w:rPr>
                <w:sz w:val="18"/>
                <w:szCs w:val="18"/>
              </w:rPr>
              <w:t>667</w:t>
            </w:r>
          </w:p>
        </w:tc>
      </w:tr>
      <w:tr w:rsidR="00DE3C3C" w14:paraId="3893CD84" w14:textId="77777777">
        <w:trPr>
          <w:cantSplit/>
          <w:jc w:val="center"/>
        </w:trPr>
        <w:tc>
          <w:tcPr>
            <w:tcW w:w="1200" w:type="dxa"/>
            <w:tcMar>
              <w:top w:w="60" w:type="dxa"/>
              <w:left w:w="100" w:type="dxa"/>
              <w:bottom w:w="60" w:type="dxa"/>
              <w:right w:w="100" w:type="dxa"/>
            </w:tcMar>
            <w:vAlign w:val="center"/>
          </w:tcPr>
          <w:p w14:paraId="4D1FB2B8" w14:textId="77777777" w:rsidR="00DE3C3C" w:rsidRDefault="003C7DFB" w:rsidP="00766DAF">
            <w:pPr>
              <w:spacing w:after="0" w:line="240" w:lineRule="auto"/>
              <w:jc w:val="center"/>
              <w:rPr>
                <w:sz w:val="18"/>
                <w:szCs w:val="18"/>
              </w:rPr>
            </w:pPr>
            <w:r>
              <w:rPr>
                <w:sz w:val="18"/>
                <w:szCs w:val="18"/>
              </w:rPr>
              <w:t>2045</w:t>
            </w:r>
          </w:p>
        </w:tc>
        <w:tc>
          <w:tcPr>
            <w:tcW w:w="2100" w:type="dxa"/>
            <w:tcMar>
              <w:top w:w="60" w:type="dxa"/>
              <w:left w:w="100" w:type="dxa"/>
              <w:bottom w:w="60" w:type="dxa"/>
              <w:right w:w="100" w:type="dxa"/>
            </w:tcMar>
            <w:vAlign w:val="center"/>
          </w:tcPr>
          <w:p w14:paraId="541813E9" w14:textId="11320258" w:rsidR="00DE3C3C" w:rsidRDefault="003C7DFB" w:rsidP="00766DAF">
            <w:pPr>
              <w:spacing w:after="0" w:line="240" w:lineRule="auto"/>
              <w:jc w:val="center"/>
              <w:rPr>
                <w:sz w:val="18"/>
                <w:szCs w:val="18"/>
              </w:rPr>
            </w:pPr>
            <w:r>
              <w:rPr>
                <w:sz w:val="18"/>
                <w:szCs w:val="18"/>
              </w:rPr>
              <w:t>34</w:t>
            </w:r>
            <w:r w:rsidR="00C22633">
              <w:rPr>
                <w:sz w:val="18"/>
                <w:szCs w:val="18"/>
              </w:rPr>
              <w:t>,</w:t>
            </w:r>
            <w:r>
              <w:rPr>
                <w:sz w:val="18"/>
                <w:szCs w:val="18"/>
              </w:rPr>
              <w:t>64</w:t>
            </w:r>
          </w:p>
        </w:tc>
        <w:tc>
          <w:tcPr>
            <w:tcW w:w="2700" w:type="dxa"/>
            <w:tcMar>
              <w:top w:w="60" w:type="dxa"/>
              <w:left w:w="100" w:type="dxa"/>
              <w:bottom w:w="60" w:type="dxa"/>
              <w:right w:w="100" w:type="dxa"/>
            </w:tcMar>
            <w:vAlign w:val="center"/>
          </w:tcPr>
          <w:p w14:paraId="3AC0AE08" w14:textId="7838C512" w:rsidR="00DE3C3C" w:rsidRDefault="003C7DFB" w:rsidP="00766DAF">
            <w:pPr>
              <w:spacing w:after="0" w:line="240" w:lineRule="auto"/>
              <w:jc w:val="center"/>
              <w:rPr>
                <w:sz w:val="18"/>
                <w:szCs w:val="18"/>
              </w:rPr>
            </w:pPr>
            <w:r>
              <w:rPr>
                <w:sz w:val="18"/>
                <w:szCs w:val="18"/>
              </w:rPr>
              <w:t>1</w:t>
            </w:r>
            <w:r w:rsidR="00766DAF">
              <w:rPr>
                <w:sz w:val="18"/>
                <w:szCs w:val="18"/>
              </w:rPr>
              <w:t>.</w:t>
            </w:r>
            <w:r>
              <w:rPr>
                <w:sz w:val="18"/>
                <w:szCs w:val="18"/>
              </w:rPr>
              <w:t>493</w:t>
            </w:r>
          </w:p>
        </w:tc>
        <w:tc>
          <w:tcPr>
            <w:tcW w:w="2640" w:type="dxa"/>
            <w:tcMar>
              <w:top w:w="60" w:type="dxa"/>
              <w:left w:w="100" w:type="dxa"/>
              <w:bottom w:w="60" w:type="dxa"/>
              <w:right w:w="100" w:type="dxa"/>
            </w:tcMar>
            <w:vAlign w:val="center"/>
          </w:tcPr>
          <w:p w14:paraId="0CE14153" w14:textId="57EEB27A" w:rsidR="00DE3C3C" w:rsidRDefault="003C7DFB" w:rsidP="00766DAF">
            <w:pPr>
              <w:spacing w:after="0" w:line="240" w:lineRule="auto"/>
              <w:jc w:val="center"/>
              <w:rPr>
                <w:sz w:val="18"/>
                <w:szCs w:val="18"/>
              </w:rPr>
            </w:pPr>
            <w:r>
              <w:rPr>
                <w:sz w:val="18"/>
                <w:szCs w:val="18"/>
              </w:rPr>
              <w:t>1</w:t>
            </w:r>
            <w:r w:rsidR="00766DAF">
              <w:rPr>
                <w:sz w:val="18"/>
                <w:szCs w:val="18"/>
              </w:rPr>
              <w:t>.</w:t>
            </w:r>
            <w:r>
              <w:rPr>
                <w:sz w:val="18"/>
                <w:szCs w:val="18"/>
              </w:rPr>
              <w:t>446</w:t>
            </w:r>
          </w:p>
        </w:tc>
      </w:tr>
      <w:tr w:rsidR="00DE3C3C" w14:paraId="32BE79F7" w14:textId="77777777">
        <w:trPr>
          <w:cantSplit/>
          <w:jc w:val="center"/>
        </w:trPr>
        <w:tc>
          <w:tcPr>
            <w:tcW w:w="1200" w:type="dxa"/>
            <w:tcMar>
              <w:top w:w="60" w:type="dxa"/>
              <w:left w:w="100" w:type="dxa"/>
              <w:bottom w:w="60" w:type="dxa"/>
              <w:right w:w="100" w:type="dxa"/>
            </w:tcMar>
            <w:vAlign w:val="center"/>
          </w:tcPr>
          <w:p w14:paraId="19401BEB" w14:textId="77777777" w:rsidR="00DE3C3C" w:rsidRDefault="003C7DFB" w:rsidP="00766DAF">
            <w:pPr>
              <w:spacing w:after="0" w:line="240" w:lineRule="auto"/>
              <w:jc w:val="center"/>
              <w:rPr>
                <w:sz w:val="18"/>
                <w:szCs w:val="18"/>
              </w:rPr>
            </w:pPr>
            <w:r>
              <w:rPr>
                <w:sz w:val="18"/>
                <w:szCs w:val="18"/>
              </w:rPr>
              <w:t>2050</w:t>
            </w:r>
          </w:p>
        </w:tc>
        <w:tc>
          <w:tcPr>
            <w:tcW w:w="2100" w:type="dxa"/>
            <w:tcMar>
              <w:top w:w="60" w:type="dxa"/>
              <w:left w:w="100" w:type="dxa"/>
              <w:bottom w:w="60" w:type="dxa"/>
              <w:right w:w="100" w:type="dxa"/>
            </w:tcMar>
            <w:vAlign w:val="center"/>
          </w:tcPr>
          <w:p w14:paraId="4B7BCD7A" w14:textId="34FD8FB3" w:rsidR="00DE3C3C" w:rsidRDefault="003C7DFB" w:rsidP="00766DAF">
            <w:pPr>
              <w:spacing w:after="0" w:line="240" w:lineRule="auto"/>
              <w:jc w:val="center"/>
              <w:rPr>
                <w:sz w:val="18"/>
                <w:szCs w:val="18"/>
              </w:rPr>
            </w:pPr>
            <w:r>
              <w:rPr>
                <w:sz w:val="18"/>
                <w:szCs w:val="18"/>
              </w:rPr>
              <w:t>18</w:t>
            </w:r>
            <w:r w:rsidR="00C22633">
              <w:rPr>
                <w:sz w:val="18"/>
                <w:szCs w:val="18"/>
              </w:rPr>
              <w:t>,</w:t>
            </w:r>
            <w:r>
              <w:rPr>
                <w:sz w:val="18"/>
                <w:szCs w:val="18"/>
              </w:rPr>
              <w:t>23</w:t>
            </w:r>
          </w:p>
        </w:tc>
        <w:tc>
          <w:tcPr>
            <w:tcW w:w="2700" w:type="dxa"/>
            <w:tcMar>
              <w:top w:w="60" w:type="dxa"/>
              <w:left w:w="100" w:type="dxa"/>
              <w:bottom w:w="60" w:type="dxa"/>
              <w:right w:w="100" w:type="dxa"/>
            </w:tcMar>
            <w:vAlign w:val="center"/>
          </w:tcPr>
          <w:p w14:paraId="6786A99E" w14:textId="0C6F4BCF" w:rsidR="00DE3C3C" w:rsidRDefault="003C7DFB" w:rsidP="00766DAF">
            <w:pPr>
              <w:spacing w:after="0" w:line="240" w:lineRule="auto"/>
              <w:jc w:val="center"/>
              <w:rPr>
                <w:sz w:val="18"/>
                <w:szCs w:val="18"/>
              </w:rPr>
            </w:pPr>
            <w:r>
              <w:rPr>
                <w:sz w:val="18"/>
                <w:szCs w:val="18"/>
              </w:rPr>
              <w:t>1</w:t>
            </w:r>
            <w:r w:rsidR="00766DAF">
              <w:rPr>
                <w:sz w:val="18"/>
                <w:szCs w:val="18"/>
              </w:rPr>
              <w:t>.</w:t>
            </w:r>
            <w:r>
              <w:rPr>
                <w:sz w:val="18"/>
                <w:szCs w:val="18"/>
              </w:rPr>
              <w:t>923</w:t>
            </w:r>
          </w:p>
        </w:tc>
        <w:tc>
          <w:tcPr>
            <w:tcW w:w="2640" w:type="dxa"/>
            <w:tcMar>
              <w:top w:w="60" w:type="dxa"/>
              <w:left w:w="100" w:type="dxa"/>
              <w:bottom w:w="60" w:type="dxa"/>
              <w:right w:w="100" w:type="dxa"/>
            </w:tcMar>
            <w:vAlign w:val="center"/>
          </w:tcPr>
          <w:p w14:paraId="34260C9C" w14:textId="2A66C2D9" w:rsidR="00DE3C3C" w:rsidRDefault="003C7DFB" w:rsidP="00766DAF">
            <w:pPr>
              <w:spacing w:after="0" w:line="240" w:lineRule="auto"/>
              <w:jc w:val="center"/>
              <w:rPr>
                <w:sz w:val="18"/>
                <w:szCs w:val="18"/>
              </w:rPr>
            </w:pPr>
            <w:r>
              <w:rPr>
                <w:sz w:val="18"/>
                <w:szCs w:val="18"/>
              </w:rPr>
              <w:t>1</w:t>
            </w:r>
            <w:r w:rsidR="00766DAF">
              <w:rPr>
                <w:sz w:val="18"/>
                <w:szCs w:val="18"/>
              </w:rPr>
              <w:t>.</w:t>
            </w:r>
            <w:r>
              <w:rPr>
                <w:sz w:val="18"/>
                <w:szCs w:val="18"/>
              </w:rPr>
              <w:t>898</w:t>
            </w:r>
          </w:p>
        </w:tc>
      </w:tr>
    </w:tbl>
    <w:p w14:paraId="5059C289" w14:textId="65BCF677" w:rsidR="00DE3C3C" w:rsidRDefault="003C7DFB">
      <w:pPr>
        <w:spacing w:before="60" w:after="200" w:line="240" w:lineRule="auto"/>
        <w:jc w:val="both"/>
      </w:pPr>
      <w:r>
        <w:rPr>
          <w:i/>
          <w:iCs/>
          <w:sz w:val="18"/>
          <w:szCs w:val="18"/>
        </w:rPr>
        <w:t>Υπολογισμός του συγγραφέα με βάση τον συντελεστή κύρωσης 2</w:t>
      </w:r>
      <w:r w:rsidR="00766DAF">
        <w:rPr>
          <w:i/>
          <w:iCs/>
          <w:sz w:val="18"/>
          <w:szCs w:val="18"/>
        </w:rPr>
        <w:t>.</w:t>
      </w:r>
      <w:r>
        <w:rPr>
          <w:i/>
          <w:iCs/>
          <w:sz w:val="18"/>
          <w:szCs w:val="18"/>
        </w:rPr>
        <w:t>400</w:t>
      </w:r>
      <w:r w:rsidR="00766DAF" w:rsidRPr="00766DAF">
        <w:rPr>
          <w:i/>
          <w:iCs/>
          <w:sz w:val="18"/>
          <w:szCs w:val="18"/>
        </w:rPr>
        <w:t xml:space="preserve"> </w:t>
      </w:r>
      <w:r w:rsidR="00766DAF">
        <w:rPr>
          <w:i/>
          <w:iCs/>
          <w:sz w:val="18"/>
          <w:szCs w:val="18"/>
        </w:rPr>
        <w:t>EUR</w:t>
      </w:r>
      <w:r>
        <w:rPr>
          <w:i/>
          <w:iCs/>
          <w:sz w:val="18"/>
          <w:szCs w:val="18"/>
        </w:rPr>
        <w:t xml:space="preserve"> ανά τόνο ισοδύναμου VLSFO με 41</w:t>
      </w:r>
      <w:r w:rsidR="00766DAF">
        <w:rPr>
          <w:i/>
          <w:iCs/>
          <w:sz w:val="18"/>
          <w:szCs w:val="18"/>
        </w:rPr>
        <w:t>.</w:t>
      </w:r>
      <w:r>
        <w:rPr>
          <w:i/>
          <w:iCs/>
          <w:sz w:val="18"/>
          <w:szCs w:val="18"/>
        </w:rPr>
        <w:t>000 MJ/t [</w:t>
      </w:r>
      <w:r>
        <w:rPr>
          <w:i/>
          <w:iCs/>
          <w:sz w:val="18"/>
          <w:szCs w:val="18"/>
        </w:rPr>
        <w:fldChar w:fldCharType="begin"/>
      </w:r>
      <w:r>
        <w:rPr>
          <w:i/>
          <w:iCs/>
          <w:sz w:val="18"/>
          <w:szCs w:val="18"/>
        </w:rPr>
        <w:instrText xml:space="preserve"> REF _Ref_cit_50 \h \* MERGEFORMAT </w:instrText>
      </w:r>
      <w:r>
        <w:rPr>
          <w:i/>
          <w:iCs/>
          <w:sz w:val="18"/>
          <w:szCs w:val="18"/>
        </w:rPr>
      </w:r>
      <w:r>
        <w:rPr>
          <w:i/>
          <w:iCs/>
          <w:sz w:val="18"/>
          <w:szCs w:val="18"/>
        </w:rPr>
        <w:fldChar w:fldCharType="separate"/>
      </w:r>
      <w:r w:rsidR="00B0043E" w:rsidRPr="00B0043E">
        <w:rPr>
          <w:i/>
          <w:iCs/>
          <w:sz w:val="18"/>
          <w:szCs w:val="18"/>
        </w:rPr>
        <w:t>50</w:t>
      </w:r>
      <w:r>
        <w:rPr>
          <w:i/>
          <w:iCs/>
          <w:sz w:val="18"/>
          <w:szCs w:val="18"/>
        </w:rPr>
        <w:fldChar w:fldCharType="end"/>
      </w:r>
      <w:r>
        <w:rPr>
          <w:i/>
          <w:iCs/>
          <w:sz w:val="18"/>
          <w:szCs w:val="18"/>
        </w:rPr>
        <w:t>], [</w:t>
      </w:r>
      <w:r>
        <w:rPr>
          <w:i/>
          <w:iCs/>
          <w:sz w:val="18"/>
          <w:szCs w:val="18"/>
        </w:rPr>
        <w:fldChar w:fldCharType="begin"/>
      </w:r>
      <w:r>
        <w:rPr>
          <w:i/>
          <w:iCs/>
          <w:sz w:val="18"/>
          <w:szCs w:val="18"/>
        </w:rPr>
        <w:instrText xml:space="preserve"> REF _Ref_cit_61 \h \* MERGEFORMAT </w:instrText>
      </w:r>
      <w:r>
        <w:rPr>
          <w:i/>
          <w:iCs/>
          <w:sz w:val="18"/>
          <w:szCs w:val="18"/>
        </w:rPr>
      </w:r>
      <w:r>
        <w:rPr>
          <w:i/>
          <w:iCs/>
          <w:sz w:val="18"/>
          <w:szCs w:val="18"/>
        </w:rPr>
        <w:fldChar w:fldCharType="separate"/>
      </w:r>
      <w:r w:rsidR="00B0043E" w:rsidRPr="00B0043E">
        <w:rPr>
          <w:i/>
          <w:iCs/>
          <w:sz w:val="18"/>
          <w:szCs w:val="18"/>
        </w:rPr>
        <w:t>61</w:t>
      </w:r>
      <w:r>
        <w:rPr>
          <w:i/>
          <w:iCs/>
          <w:sz w:val="18"/>
          <w:szCs w:val="18"/>
        </w:rPr>
        <w:fldChar w:fldCharType="end"/>
      </w:r>
      <w:r>
        <w:rPr>
          <w:i/>
          <w:iCs/>
          <w:sz w:val="18"/>
          <w:szCs w:val="18"/>
        </w:rPr>
        <w:t>] και τα όρια του Πίνακα 5. Η υποτιθέμενη ένταση του καυσίμου αποτελεί ενδεικτική τιμή. Οι τιμές αφορούν το καύσιμο που καίγεται αφού ληφθεί υπόψη η αιολική ώση.</w:t>
      </w:r>
    </w:p>
    <w:p w14:paraId="1E88D864" w14:textId="1C7CC19E" w:rsidR="00DE3C3C" w:rsidRDefault="003C7DFB">
      <w:pPr>
        <w:spacing w:line="360" w:lineRule="auto"/>
        <w:ind w:firstLine="576"/>
        <w:jc w:val="both"/>
      </w:pPr>
      <w:r>
        <w:t>Προκύπτουν δύο συμπεράσματα. Πρώτον, κατά την αρχική περίοδο ο συντελεστής επιβράβευσης αιολικής ενέργειας αρκεί για να μετακινήσει ένα πλοίο που κινείται με ορυκτά καύσιμα από έλλειμμα σε πλεόνασμα, οπότε ένα WAPS με αιολικό μερίδιο περίπου 10 έως 15% μπορεί να εξαλείψει πλήρως την έκθεση</w:t>
      </w:r>
      <w:r w:rsidR="0059248B">
        <w:t xml:space="preserve"> σε κυρώσεις</w:t>
      </w:r>
      <w:r>
        <w:t xml:space="preserve"> το 2025 και να τη μειώσει κατά περίπου τρία τέταρτα το 2030. Το πλεόνασμα των πρώτων ετών μπορεί, επιπλέον, να διατεθεί σε συγκέντρωση ή να αποταμιευθεί. Δεύτερον, από το 2035 η μέγιστη επιβράβευση του 5% γίνεται μικρή σε σχέση με το μέγεθος της απαιτούμενης μείωσης, και έως το 2040 το πλοίο παραμένει εκτεθειμένο σε κυρώσεις άνω των 600 </w:t>
      </w:r>
      <w:r w:rsidR="00440B5B">
        <w:t xml:space="preserve">EUR </w:t>
      </w:r>
      <w:r>
        <w:t xml:space="preserve">ανά τόνο καυσίμου που καίγεται, ακόμη και με την επιβράβευση. Μετά τις αρχές της δεκαετίας του 2030, η συμμόρφωση πρέπει επομένως να προέλθει από το ίδιο το καύσιμο, μέσω </w:t>
      </w:r>
      <w:proofErr w:type="spellStart"/>
      <w:r>
        <w:t>βιοκαυσίμων</w:t>
      </w:r>
      <w:proofErr w:type="spellEnd"/>
      <w:r>
        <w:t xml:space="preserve">, LNG, </w:t>
      </w:r>
      <w:proofErr w:type="spellStart"/>
      <w:r>
        <w:t>μεθανόλης</w:t>
      </w:r>
      <w:proofErr w:type="spellEnd"/>
      <w:r>
        <w:t xml:space="preserve"> ή αμμωνίας, ενώ τα WAPS συμβάλλουν ως συμπληρωματικό μέτρο που μειώνει την ποσότητα του ακριβότερου αυτού καυσίμου που απαιτείται. Το συμπέρασμα αυτό ενισχύει το επιχείρημα που διατυπώθηκε στην Ενότητα 1.1.8, ότι η αιολική πρόωση πρέπει να θεωρείται μέρος ενός διαφοροποιημένου χαρτοφυλακίου και όχι αυτοτελής λύση [</w:t>
      </w:r>
      <w:r>
        <w:fldChar w:fldCharType="begin"/>
      </w:r>
      <w:r>
        <w:instrText xml:space="preserve"> REF _Ref_cit_24 \h \* MERGEFORMAT </w:instrText>
      </w:r>
      <w:r>
        <w:fldChar w:fldCharType="separate"/>
      </w:r>
      <w:r w:rsidR="00B0043E" w:rsidRPr="00B0043E">
        <w:t>24</w:t>
      </w:r>
      <w:r>
        <w:fldChar w:fldCharType="end"/>
      </w:r>
      <w:r>
        <w:t>].</w:t>
      </w:r>
    </w:p>
    <w:p w14:paraId="02E226E9" w14:textId="7D88BCC0" w:rsidR="00DE3C3C" w:rsidRDefault="003C7DFB">
      <w:pPr>
        <w:pStyle w:val="30"/>
      </w:pPr>
      <w:bookmarkStart w:id="185" w:name="_Toc243355348"/>
      <w:r>
        <w:t>Ενδεικτική αποπληρωμή με βάση το σύνολο ωφελειών</w:t>
      </w:r>
      <w:bookmarkEnd w:id="185"/>
    </w:p>
    <w:p w14:paraId="38FB5D0F" w14:textId="17DDDBEC" w:rsidR="00DE3C3C" w:rsidRDefault="003C7DFB">
      <w:pPr>
        <w:spacing w:line="360" w:lineRule="auto"/>
        <w:ind w:firstLine="576"/>
        <w:jc w:val="both"/>
      </w:pPr>
      <w:r>
        <w:t>Τα μεγέθη που υπολογίστηκαν έως τώρα μπορούν να συνδυαστούν σε έναν απλό υπολογισμό περιόδου αποπληρωμής, ο οποίος δείχνει πώς η αξία</w:t>
      </w:r>
      <w:r w:rsidR="00B53644">
        <w:t xml:space="preserve"> </w:t>
      </w:r>
      <w:r w:rsidR="00055761">
        <w:t>με βάση τους κανονισμούς</w:t>
      </w:r>
      <w:r>
        <w:t xml:space="preserve"> μεταβάλλει το επενδυτικό σκεπτικό. Ο υπολογισμός υποθέτει, για λόγους απεικόνισης, συνολική επένδυση 3.5 εκατομμυρίων</w:t>
      </w:r>
      <w:r w:rsidR="00055761" w:rsidRPr="00055761">
        <w:t xml:space="preserve"> </w:t>
      </w:r>
      <w:r w:rsidR="00055761">
        <w:t>EUR</w:t>
      </w:r>
      <w:r>
        <w:t>,</w:t>
      </w:r>
      <w:r w:rsidR="00055761">
        <w:t xml:space="preserve"> </w:t>
      </w:r>
      <w:r>
        <w:t xml:space="preserve">μεταξύ των τιμών των </w:t>
      </w:r>
      <w:proofErr w:type="spellStart"/>
      <w:r>
        <w:t>Carjova</w:t>
      </w:r>
      <w:proofErr w:type="spellEnd"/>
      <w:r>
        <w:t xml:space="preserve"> </w:t>
      </w:r>
      <w:proofErr w:type="spellStart"/>
      <w:r>
        <w:t>et</w:t>
      </w:r>
      <w:proofErr w:type="spellEnd"/>
      <w:r>
        <w:t xml:space="preserve"> </w:t>
      </w:r>
      <w:proofErr w:type="spellStart"/>
      <w:r>
        <w:t>al</w:t>
      </w:r>
      <w:proofErr w:type="spellEnd"/>
      <w:r>
        <w:t>. [</w:t>
      </w:r>
      <w:r>
        <w:fldChar w:fldCharType="begin"/>
      </w:r>
      <w:r>
        <w:instrText xml:space="preserve"> REF _Ref_cit_40 \h \* MERGEFORMAT </w:instrText>
      </w:r>
      <w:r>
        <w:fldChar w:fldCharType="separate"/>
      </w:r>
      <w:r w:rsidR="00B0043E" w:rsidRPr="00B0043E">
        <w:t>40</w:t>
      </w:r>
      <w:r>
        <w:fldChar w:fldCharType="end"/>
      </w:r>
      <w:r>
        <w:t xml:space="preserve">] και της </w:t>
      </w:r>
      <w:proofErr w:type="spellStart"/>
      <w:r>
        <w:t>Stathopoulou</w:t>
      </w:r>
      <w:proofErr w:type="spellEnd"/>
      <w:r>
        <w:t xml:space="preserve"> [</w:t>
      </w:r>
      <w:r>
        <w:fldChar w:fldCharType="begin"/>
      </w:r>
      <w:r>
        <w:instrText xml:space="preserve"> REF _Ref_cit_63 \h \* MERGEFORMAT </w:instrText>
      </w:r>
      <w:r>
        <w:fldChar w:fldCharType="separate"/>
      </w:r>
      <w:r w:rsidR="00B0043E" w:rsidRPr="00B0043E">
        <w:t>63</w:t>
      </w:r>
      <w:r>
        <w:fldChar w:fldCharType="end"/>
      </w:r>
      <w:r>
        <w:t>], πλοίο που καταναλώνει 10</w:t>
      </w:r>
      <w:r w:rsidR="00055761">
        <w:t>.</w:t>
      </w:r>
      <w:r>
        <w:t>000 τόνους καυσίμου ετησίως με τιμή 500</w:t>
      </w:r>
      <w:r w:rsidR="00055761" w:rsidRPr="00055761">
        <w:t xml:space="preserve"> </w:t>
      </w:r>
      <w:r w:rsidR="00055761">
        <w:t>EUR</w:t>
      </w:r>
      <w:r>
        <w:t xml:space="preserve"> ανά τόνο [</w:t>
      </w:r>
      <w:r>
        <w:fldChar w:fldCharType="begin"/>
      </w:r>
      <w:r>
        <w:instrText xml:space="preserve"> REF _Ref_cit_40 \h \* MERGEFORMAT </w:instrText>
      </w:r>
      <w:r>
        <w:fldChar w:fldCharType="separate"/>
      </w:r>
      <w:r w:rsidR="00B0043E" w:rsidRPr="00B0043E">
        <w:t>40</w:t>
      </w:r>
      <w:r>
        <w:fldChar w:fldCharType="end"/>
      </w:r>
      <w:r>
        <w:t>] και κόστος συντήρησης 2% της επένδυσης ετησίως [</w:t>
      </w:r>
      <w:r>
        <w:fldChar w:fldCharType="begin"/>
      </w:r>
      <w:r>
        <w:instrText xml:space="preserve"> REF _Ref_cit_63 \h \* MERGEFORMAT </w:instrText>
      </w:r>
      <w:r>
        <w:fldChar w:fldCharType="separate"/>
      </w:r>
      <w:r w:rsidR="00B0043E" w:rsidRPr="00B0043E">
        <w:t>63</w:t>
      </w:r>
      <w:r>
        <w:fldChar w:fldCharType="end"/>
      </w:r>
      <w:r>
        <w:t>]. Η αξία</w:t>
      </w:r>
      <w:r w:rsidR="00B11FB6">
        <w:t xml:space="preserve"> </w:t>
      </w:r>
      <w:r>
        <w:t xml:space="preserve">άνθρακα ανά τόνο εξοικονομούμενου καυσίμου </w:t>
      </w:r>
      <w:r>
        <w:lastRenderedPageBreak/>
        <w:t xml:space="preserve">λαμβάνεται από τον </w:t>
      </w:r>
      <w:r w:rsidRPr="00B11FB6">
        <w:rPr>
          <w:b/>
          <w:bCs/>
        </w:rPr>
        <w:t>Πίνακα 1</w:t>
      </w:r>
      <w:r w:rsidR="00843378">
        <w:rPr>
          <w:b/>
          <w:bCs/>
        </w:rPr>
        <w:t>1</w:t>
      </w:r>
      <w:r>
        <w:t xml:space="preserve"> για τιμή δικαιώματος 80 </w:t>
      </w:r>
      <w:r w:rsidR="00B11FB6">
        <w:t xml:space="preserve">EUR </w:t>
      </w:r>
      <w:r>
        <w:t>σε πλήρη εφαρμογή, δηλαδή 125</w:t>
      </w:r>
      <w:r w:rsidR="00B11FB6" w:rsidRPr="00B11FB6">
        <w:t xml:space="preserve"> </w:t>
      </w:r>
      <w:r w:rsidR="00B11FB6">
        <w:t>EUR</w:t>
      </w:r>
      <w:r>
        <w:t xml:space="preserve"> σε ταξίδι εκτός ΕΕ και 249</w:t>
      </w:r>
      <w:r w:rsidR="00B11FB6" w:rsidRPr="00B11FB6">
        <w:t xml:space="preserve"> </w:t>
      </w:r>
      <w:r w:rsidR="00B11FB6">
        <w:t>EUR</w:t>
      </w:r>
      <w:r>
        <w:t xml:space="preserve"> σε ταξίδι εντός ΕΕ.</w:t>
      </w:r>
      <w:r w:rsidR="00B11FB6">
        <w:t xml:space="preserve"> </w:t>
      </w:r>
      <w:r>
        <w:t xml:space="preserve">Η περίοδος αποπληρωμής ισούται με την επένδυση διαιρεμένη με το ετήσιο καθαρό όφελος, χωρίς προεξόφληση και χωρίς την επιβράβευση αιολικής ενέργειας του </w:t>
      </w:r>
      <w:proofErr w:type="spellStart"/>
      <w:r>
        <w:t>FuelEU</w:t>
      </w:r>
      <w:proofErr w:type="spellEnd"/>
      <w:r>
        <w:t>, και είναι επομένως αισιόδοξη.</w:t>
      </w:r>
    </w:p>
    <w:p w14:paraId="1E2DECEF" w14:textId="20927026" w:rsidR="00DE3C3C" w:rsidRDefault="003C7DFB">
      <w:pPr>
        <w:pStyle w:val="af2"/>
        <w:keepNext/>
        <w:jc w:val="center"/>
        <w:rPr>
          <w:b/>
          <w:bCs/>
          <w:noProof/>
        </w:rPr>
      </w:pPr>
      <w:r>
        <w:rPr>
          <w:b/>
          <w:bCs/>
        </w:rPr>
        <w:t xml:space="preserve">Πίνακας </w:t>
      </w:r>
      <w:r w:rsidR="00843378">
        <w:rPr>
          <w:b/>
          <w:bCs/>
        </w:rPr>
        <w:t>13</w:t>
      </w:r>
      <w:r>
        <w:rPr>
          <w:b/>
          <w:bCs/>
        </w:rPr>
        <w:t>: Ενδεικτική απλή περίοδος αποπληρωμής (έτη) μιας εγκατάστασης WAPS EUR 3</w:t>
      </w:r>
      <w:r w:rsidR="00C93428">
        <w:rPr>
          <w:b/>
          <w:bCs/>
        </w:rPr>
        <w:t>,</w:t>
      </w:r>
      <w:r>
        <w:rPr>
          <w:b/>
          <w:bCs/>
        </w:rPr>
        <w:t>5 εκατομμυρίων σε πλοίο που καίει 10</w:t>
      </w:r>
      <w:r w:rsidR="00C93428">
        <w:rPr>
          <w:b/>
          <w:bCs/>
        </w:rPr>
        <w:t>.</w:t>
      </w:r>
      <w:r>
        <w:rPr>
          <w:b/>
          <w:bCs/>
        </w:rPr>
        <w:t>000 t καυσίμου ετησίως.</w:t>
      </w:r>
    </w:p>
    <w:tbl>
      <w:tblPr>
        <w:tblW w:w="8915"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1375"/>
        <w:gridCol w:w="1500"/>
        <w:gridCol w:w="1500"/>
        <w:gridCol w:w="1500"/>
        <w:gridCol w:w="1520"/>
        <w:gridCol w:w="1520"/>
      </w:tblGrid>
      <w:tr w:rsidR="00DE3C3C" w14:paraId="381CEDFA" w14:textId="77777777" w:rsidTr="00C93428">
        <w:trPr>
          <w:cantSplit/>
          <w:tblHeader/>
          <w:jc w:val="center"/>
        </w:trPr>
        <w:tc>
          <w:tcPr>
            <w:tcW w:w="1375" w:type="dxa"/>
            <w:shd w:val="clear" w:color="auto" w:fill="D9D9D9"/>
            <w:tcMar>
              <w:top w:w="60" w:type="dxa"/>
              <w:left w:w="100" w:type="dxa"/>
              <w:bottom w:w="60" w:type="dxa"/>
              <w:right w:w="100" w:type="dxa"/>
            </w:tcMar>
            <w:vAlign w:val="center"/>
          </w:tcPr>
          <w:p w14:paraId="62E74731" w14:textId="77777777" w:rsidR="00DE3C3C" w:rsidRDefault="003C7DFB" w:rsidP="00C93428">
            <w:pPr>
              <w:spacing w:after="0" w:line="240" w:lineRule="auto"/>
              <w:jc w:val="center"/>
              <w:rPr>
                <w:sz w:val="18"/>
                <w:szCs w:val="18"/>
              </w:rPr>
            </w:pPr>
            <w:r>
              <w:rPr>
                <w:b/>
                <w:bCs/>
                <w:sz w:val="18"/>
                <w:szCs w:val="18"/>
              </w:rPr>
              <w:t>Εξοικονόμηση καυσίμου</w:t>
            </w:r>
          </w:p>
        </w:tc>
        <w:tc>
          <w:tcPr>
            <w:tcW w:w="1500" w:type="dxa"/>
            <w:shd w:val="clear" w:color="auto" w:fill="D9D9D9"/>
            <w:tcMar>
              <w:top w:w="60" w:type="dxa"/>
              <w:left w:w="100" w:type="dxa"/>
              <w:bottom w:w="60" w:type="dxa"/>
              <w:right w:w="100" w:type="dxa"/>
            </w:tcMar>
            <w:vAlign w:val="center"/>
          </w:tcPr>
          <w:p w14:paraId="5DA30FBF" w14:textId="0FC9BD2E" w:rsidR="00DE3C3C" w:rsidRDefault="003C7DFB" w:rsidP="00C93428">
            <w:pPr>
              <w:spacing w:after="0" w:line="240" w:lineRule="auto"/>
              <w:jc w:val="center"/>
              <w:rPr>
                <w:sz w:val="18"/>
                <w:szCs w:val="18"/>
              </w:rPr>
            </w:pPr>
            <w:r>
              <w:rPr>
                <w:b/>
                <w:bCs/>
                <w:sz w:val="18"/>
                <w:szCs w:val="18"/>
              </w:rPr>
              <w:t>Χωρίς κόστος άνθρακα (500</w:t>
            </w:r>
            <w:r w:rsidR="006D3408">
              <w:rPr>
                <w:b/>
                <w:bCs/>
                <w:sz w:val="18"/>
                <w:szCs w:val="18"/>
              </w:rPr>
              <w:t xml:space="preserve"> EUR </w:t>
            </w:r>
            <w:r>
              <w:rPr>
                <w:b/>
                <w:bCs/>
                <w:sz w:val="18"/>
                <w:szCs w:val="18"/>
              </w:rPr>
              <w:t>/t)</w:t>
            </w:r>
          </w:p>
        </w:tc>
        <w:tc>
          <w:tcPr>
            <w:tcW w:w="1500" w:type="dxa"/>
            <w:shd w:val="clear" w:color="auto" w:fill="D9D9D9"/>
            <w:tcMar>
              <w:top w:w="60" w:type="dxa"/>
              <w:left w:w="100" w:type="dxa"/>
              <w:bottom w:w="60" w:type="dxa"/>
              <w:right w:w="100" w:type="dxa"/>
            </w:tcMar>
            <w:vAlign w:val="center"/>
          </w:tcPr>
          <w:p w14:paraId="539FF045" w14:textId="5866EF67" w:rsidR="00DE3C3C" w:rsidRDefault="003C7DFB" w:rsidP="00C93428">
            <w:pPr>
              <w:spacing w:after="0" w:line="240" w:lineRule="auto"/>
              <w:jc w:val="center"/>
              <w:rPr>
                <w:sz w:val="18"/>
                <w:szCs w:val="18"/>
              </w:rPr>
            </w:pPr>
            <w:r>
              <w:rPr>
                <w:b/>
                <w:bCs/>
                <w:sz w:val="18"/>
                <w:szCs w:val="18"/>
              </w:rPr>
              <w:t>ETS εκτός ΕΕ (</w:t>
            </w:r>
            <w:r w:rsidR="006D3408">
              <w:rPr>
                <w:b/>
                <w:bCs/>
                <w:sz w:val="18"/>
                <w:szCs w:val="18"/>
              </w:rPr>
              <w:t xml:space="preserve">500 EUR </w:t>
            </w:r>
            <w:r>
              <w:rPr>
                <w:b/>
                <w:bCs/>
                <w:sz w:val="18"/>
                <w:szCs w:val="18"/>
              </w:rPr>
              <w:t>/t)</w:t>
            </w:r>
          </w:p>
        </w:tc>
        <w:tc>
          <w:tcPr>
            <w:tcW w:w="1500" w:type="dxa"/>
            <w:shd w:val="clear" w:color="auto" w:fill="D9D9D9"/>
            <w:tcMar>
              <w:top w:w="60" w:type="dxa"/>
              <w:left w:w="100" w:type="dxa"/>
              <w:bottom w:w="60" w:type="dxa"/>
              <w:right w:w="100" w:type="dxa"/>
            </w:tcMar>
            <w:vAlign w:val="center"/>
          </w:tcPr>
          <w:p w14:paraId="39D177C2" w14:textId="3FDCD487" w:rsidR="00DE3C3C" w:rsidRDefault="003C7DFB" w:rsidP="00C93428">
            <w:pPr>
              <w:spacing w:after="0" w:line="240" w:lineRule="auto"/>
              <w:jc w:val="center"/>
              <w:rPr>
                <w:sz w:val="18"/>
                <w:szCs w:val="18"/>
              </w:rPr>
            </w:pPr>
            <w:r>
              <w:rPr>
                <w:b/>
                <w:bCs/>
                <w:sz w:val="18"/>
                <w:szCs w:val="18"/>
              </w:rPr>
              <w:t>ETS εντός ΕΕ (</w:t>
            </w:r>
            <w:r w:rsidR="006D3408">
              <w:rPr>
                <w:b/>
                <w:bCs/>
                <w:sz w:val="18"/>
                <w:szCs w:val="18"/>
              </w:rPr>
              <w:t xml:space="preserve">500 EUR </w:t>
            </w:r>
            <w:r>
              <w:rPr>
                <w:b/>
                <w:bCs/>
                <w:sz w:val="18"/>
                <w:szCs w:val="18"/>
              </w:rPr>
              <w:t>/t)</w:t>
            </w:r>
          </w:p>
        </w:tc>
        <w:tc>
          <w:tcPr>
            <w:tcW w:w="1520" w:type="dxa"/>
            <w:shd w:val="clear" w:color="auto" w:fill="D9D9D9"/>
            <w:tcMar>
              <w:top w:w="60" w:type="dxa"/>
              <w:left w:w="100" w:type="dxa"/>
              <w:bottom w:w="60" w:type="dxa"/>
              <w:right w:w="100" w:type="dxa"/>
            </w:tcMar>
            <w:vAlign w:val="center"/>
          </w:tcPr>
          <w:p w14:paraId="33EC2E82" w14:textId="5A5EEA42" w:rsidR="00DE3C3C" w:rsidRDefault="003C7DFB" w:rsidP="00C93428">
            <w:pPr>
              <w:spacing w:after="0" w:line="240" w:lineRule="auto"/>
              <w:jc w:val="center"/>
              <w:rPr>
                <w:sz w:val="18"/>
                <w:szCs w:val="18"/>
              </w:rPr>
            </w:pPr>
            <w:r>
              <w:rPr>
                <w:b/>
                <w:bCs/>
                <w:sz w:val="18"/>
                <w:szCs w:val="18"/>
              </w:rPr>
              <w:t xml:space="preserve">ETS εκτός ΕΕ, καύσιμο </w:t>
            </w:r>
            <w:r w:rsidR="006D3408">
              <w:rPr>
                <w:b/>
                <w:bCs/>
                <w:sz w:val="18"/>
                <w:szCs w:val="18"/>
              </w:rPr>
              <w:t xml:space="preserve">400 EUR </w:t>
            </w:r>
            <w:r>
              <w:rPr>
                <w:b/>
                <w:bCs/>
                <w:sz w:val="18"/>
                <w:szCs w:val="18"/>
              </w:rPr>
              <w:t>/t</w:t>
            </w:r>
          </w:p>
        </w:tc>
        <w:tc>
          <w:tcPr>
            <w:tcW w:w="1520" w:type="dxa"/>
            <w:shd w:val="clear" w:color="auto" w:fill="D9D9D9"/>
            <w:tcMar>
              <w:top w:w="60" w:type="dxa"/>
              <w:left w:w="100" w:type="dxa"/>
              <w:bottom w:w="60" w:type="dxa"/>
              <w:right w:w="100" w:type="dxa"/>
            </w:tcMar>
            <w:vAlign w:val="center"/>
          </w:tcPr>
          <w:p w14:paraId="06C113B0" w14:textId="690D36EE" w:rsidR="00DE3C3C" w:rsidRDefault="003C7DFB" w:rsidP="00C93428">
            <w:pPr>
              <w:spacing w:after="0" w:line="240" w:lineRule="auto"/>
              <w:jc w:val="center"/>
              <w:rPr>
                <w:sz w:val="18"/>
                <w:szCs w:val="18"/>
              </w:rPr>
            </w:pPr>
            <w:r>
              <w:rPr>
                <w:b/>
                <w:bCs/>
                <w:sz w:val="18"/>
                <w:szCs w:val="18"/>
              </w:rPr>
              <w:t xml:space="preserve">ETS εκτός ΕΕ, καύσιμο </w:t>
            </w:r>
            <w:r w:rsidR="006D3408">
              <w:rPr>
                <w:b/>
                <w:bCs/>
                <w:sz w:val="18"/>
                <w:szCs w:val="18"/>
              </w:rPr>
              <w:t xml:space="preserve">700 EUR </w:t>
            </w:r>
            <w:r>
              <w:rPr>
                <w:b/>
                <w:bCs/>
                <w:sz w:val="18"/>
                <w:szCs w:val="18"/>
              </w:rPr>
              <w:t>/t</w:t>
            </w:r>
          </w:p>
        </w:tc>
      </w:tr>
      <w:tr w:rsidR="00DE3C3C" w14:paraId="686D4CDD" w14:textId="77777777" w:rsidTr="00C93428">
        <w:trPr>
          <w:cantSplit/>
          <w:jc w:val="center"/>
        </w:trPr>
        <w:tc>
          <w:tcPr>
            <w:tcW w:w="1375" w:type="dxa"/>
            <w:tcMar>
              <w:top w:w="60" w:type="dxa"/>
              <w:left w:w="100" w:type="dxa"/>
              <w:bottom w:w="60" w:type="dxa"/>
              <w:right w:w="100" w:type="dxa"/>
            </w:tcMar>
            <w:vAlign w:val="center"/>
          </w:tcPr>
          <w:p w14:paraId="48E25BA6" w14:textId="77777777" w:rsidR="00DE3C3C" w:rsidRDefault="003C7DFB" w:rsidP="00C93428">
            <w:pPr>
              <w:spacing w:after="0" w:line="240" w:lineRule="auto"/>
              <w:jc w:val="center"/>
              <w:rPr>
                <w:sz w:val="18"/>
                <w:szCs w:val="18"/>
              </w:rPr>
            </w:pPr>
            <w:r>
              <w:rPr>
                <w:sz w:val="18"/>
                <w:szCs w:val="18"/>
              </w:rPr>
              <w:t>3%</w:t>
            </w:r>
          </w:p>
        </w:tc>
        <w:tc>
          <w:tcPr>
            <w:tcW w:w="1500" w:type="dxa"/>
            <w:tcMar>
              <w:top w:w="60" w:type="dxa"/>
              <w:left w:w="100" w:type="dxa"/>
              <w:bottom w:w="60" w:type="dxa"/>
              <w:right w:w="100" w:type="dxa"/>
            </w:tcMar>
            <w:vAlign w:val="center"/>
          </w:tcPr>
          <w:p w14:paraId="2EE2C240" w14:textId="34F0D1F8" w:rsidR="00DE3C3C" w:rsidRDefault="003C7DFB" w:rsidP="00C93428">
            <w:pPr>
              <w:spacing w:after="0" w:line="240" w:lineRule="auto"/>
              <w:jc w:val="center"/>
              <w:rPr>
                <w:sz w:val="18"/>
                <w:szCs w:val="18"/>
              </w:rPr>
            </w:pPr>
            <w:r>
              <w:rPr>
                <w:sz w:val="18"/>
                <w:szCs w:val="18"/>
              </w:rPr>
              <w:t>43</w:t>
            </w:r>
            <w:r w:rsidR="00C93428">
              <w:rPr>
                <w:sz w:val="18"/>
                <w:szCs w:val="18"/>
              </w:rPr>
              <w:t>,</w:t>
            </w:r>
            <w:r>
              <w:rPr>
                <w:sz w:val="18"/>
                <w:szCs w:val="18"/>
              </w:rPr>
              <w:t>8</w:t>
            </w:r>
          </w:p>
        </w:tc>
        <w:tc>
          <w:tcPr>
            <w:tcW w:w="1500" w:type="dxa"/>
            <w:tcMar>
              <w:top w:w="60" w:type="dxa"/>
              <w:left w:w="100" w:type="dxa"/>
              <w:bottom w:w="60" w:type="dxa"/>
              <w:right w:w="100" w:type="dxa"/>
            </w:tcMar>
            <w:vAlign w:val="center"/>
          </w:tcPr>
          <w:p w14:paraId="4C42EE03" w14:textId="2C6ABC36" w:rsidR="00DE3C3C" w:rsidRDefault="003C7DFB" w:rsidP="00C93428">
            <w:pPr>
              <w:spacing w:after="0" w:line="240" w:lineRule="auto"/>
              <w:jc w:val="center"/>
              <w:rPr>
                <w:sz w:val="18"/>
                <w:szCs w:val="18"/>
              </w:rPr>
            </w:pPr>
            <w:r>
              <w:rPr>
                <w:sz w:val="18"/>
                <w:szCs w:val="18"/>
              </w:rPr>
              <w:t>29</w:t>
            </w:r>
            <w:r w:rsidR="00C93428">
              <w:rPr>
                <w:sz w:val="18"/>
                <w:szCs w:val="18"/>
              </w:rPr>
              <w:t>,</w:t>
            </w:r>
            <w:r>
              <w:rPr>
                <w:sz w:val="18"/>
                <w:szCs w:val="18"/>
              </w:rPr>
              <w:t>8</w:t>
            </w:r>
          </w:p>
        </w:tc>
        <w:tc>
          <w:tcPr>
            <w:tcW w:w="1500" w:type="dxa"/>
            <w:tcMar>
              <w:top w:w="60" w:type="dxa"/>
              <w:left w:w="100" w:type="dxa"/>
              <w:bottom w:w="60" w:type="dxa"/>
              <w:right w:w="100" w:type="dxa"/>
            </w:tcMar>
            <w:vAlign w:val="center"/>
          </w:tcPr>
          <w:p w14:paraId="3EB1BDFC" w14:textId="7FC4B8FA" w:rsidR="00DE3C3C" w:rsidRDefault="003C7DFB" w:rsidP="00C93428">
            <w:pPr>
              <w:spacing w:after="0" w:line="240" w:lineRule="auto"/>
              <w:jc w:val="center"/>
              <w:rPr>
                <w:sz w:val="18"/>
                <w:szCs w:val="18"/>
              </w:rPr>
            </w:pPr>
            <w:r>
              <w:rPr>
                <w:sz w:val="18"/>
                <w:szCs w:val="18"/>
              </w:rPr>
              <w:t>22</w:t>
            </w:r>
            <w:r w:rsidR="00C93428">
              <w:rPr>
                <w:sz w:val="18"/>
                <w:szCs w:val="18"/>
              </w:rPr>
              <w:t>,</w:t>
            </w:r>
            <w:r>
              <w:rPr>
                <w:sz w:val="18"/>
                <w:szCs w:val="18"/>
              </w:rPr>
              <w:t>6</w:t>
            </w:r>
          </w:p>
        </w:tc>
        <w:tc>
          <w:tcPr>
            <w:tcW w:w="1520" w:type="dxa"/>
            <w:tcMar>
              <w:top w:w="60" w:type="dxa"/>
              <w:left w:w="100" w:type="dxa"/>
              <w:bottom w:w="60" w:type="dxa"/>
              <w:right w:w="100" w:type="dxa"/>
            </w:tcMar>
            <w:vAlign w:val="center"/>
          </w:tcPr>
          <w:p w14:paraId="43D23EAB" w14:textId="4B0F412F" w:rsidR="00DE3C3C" w:rsidRDefault="003C7DFB" w:rsidP="00C93428">
            <w:pPr>
              <w:spacing w:after="0" w:line="240" w:lineRule="auto"/>
              <w:jc w:val="center"/>
              <w:rPr>
                <w:sz w:val="18"/>
                <w:szCs w:val="18"/>
              </w:rPr>
            </w:pPr>
            <w:r>
              <w:rPr>
                <w:sz w:val="18"/>
                <w:szCs w:val="18"/>
              </w:rPr>
              <w:t>40</w:t>
            </w:r>
            <w:r w:rsidR="00C93428">
              <w:rPr>
                <w:sz w:val="18"/>
                <w:szCs w:val="18"/>
              </w:rPr>
              <w:t>,</w:t>
            </w:r>
            <w:r>
              <w:rPr>
                <w:sz w:val="18"/>
                <w:szCs w:val="18"/>
              </w:rPr>
              <w:t>0</w:t>
            </w:r>
          </w:p>
        </w:tc>
        <w:tc>
          <w:tcPr>
            <w:tcW w:w="1520" w:type="dxa"/>
            <w:tcMar>
              <w:top w:w="60" w:type="dxa"/>
              <w:left w:w="100" w:type="dxa"/>
              <w:bottom w:w="60" w:type="dxa"/>
              <w:right w:w="100" w:type="dxa"/>
            </w:tcMar>
            <w:vAlign w:val="center"/>
          </w:tcPr>
          <w:p w14:paraId="73BB02F4" w14:textId="360C2FF5" w:rsidR="00DE3C3C" w:rsidRDefault="003C7DFB" w:rsidP="00C93428">
            <w:pPr>
              <w:spacing w:after="0" w:line="240" w:lineRule="auto"/>
              <w:jc w:val="center"/>
              <w:rPr>
                <w:sz w:val="18"/>
                <w:szCs w:val="18"/>
              </w:rPr>
            </w:pPr>
            <w:r>
              <w:rPr>
                <w:sz w:val="18"/>
                <w:szCs w:val="18"/>
              </w:rPr>
              <w:t>19</w:t>
            </w:r>
            <w:r w:rsidR="006D3408">
              <w:rPr>
                <w:sz w:val="18"/>
                <w:szCs w:val="18"/>
              </w:rPr>
              <w:t>,</w:t>
            </w:r>
            <w:r>
              <w:rPr>
                <w:sz w:val="18"/>
                <w:szCs w:val="18"/>
              </w:rPr>
              <w:t>7</w:t>
            </w:r>
          </w:p>
        </w:tc>
      </w:tr>
      <w:tr w:rsidR="00DE3C3C" w14:paraId="09D0B65C" w14:textId="77777777" w:rsidTr="00C93428">
        <w:trPr>
          <w:cantSplit/>
          <w:jc w:val="center"/>
        </w:trPr>
        <w:tc>
          <w:tcPr>
            <w:tcW w:w="1375" w:type="dxa"/>
            <w:tcMar>
              <w:top w:w="60" w:type="dxa"/>
              <w:left w:w="100" w:type="dxa"/>
              <w:bottom w:w="60" w:type="dxa"/>
              <w:right w:w="100" w:type="dxa"/>
            </w:tcMar>
            <w:vAlign w:val="center"/>
          </w:tcPr>
          <w:p w14:paraId="442AAECC" w14:textId="77777777" w:rsidR="00DE3C3C" w:rsidRDefault="003C7DFB" w:rsidP="00C93428">
            <w:pPr>
              <w:spacing w:after="0" w:line="240" w:lineRule="auto"/>
              <w:jc w:val="center"/>
              <w:rPr>
                <w:sz w:val="18"/>
                <w:szCs w:val="18"/>
              </w:rPr>
            </w:pPr>
            <w:r>
              <w:rPr>
                <w:sz w:val="18"/>
                <w:szCs w:val="18"/>
              </w:rPr>
              <w:t>5%</w:t>
            </w:r>
          </w:p>
        </w:tc>
        <w:tc>
          <w:tcPr>
            <w:tcW w:w="1500" w:type="dxa"/>
            <w:tcMar>
              <w:top w:w="60" w:type="dxa"/>
              <w:left w:w="100" w:type="dxa"/>
              <w:bottom w:w="60" w:type="dxa"/>
              <w:right w:w="100" w:type="dxa"/>
            </w:tcMar>
            <w:vAlign w:val="center"/>
          </w:tcPr>
          <w:p w14:paraId="3480B342" w14:textId="312C49A6" w:rsidR="00DE3C3C" w:rsidRDefault="003C7DFB" w:rsidP="00C93428">
            <w:pPr>
              <w:spacing w:after="0" w:line="240" w:lineRule="auto"/>
              <w:jc w:val="center"/>
              <w:rPr>
                <w:sz w:val="18"/>
                <w:szCs w:val="18"/>
              </w:rPr>
            </w:pPr>
            <w:r>
              <w:rPr>
                <w:sz w:val="18"/>
                <w:szCs w:val="18"/>
              </w:rPr>
              <w:t>19</w:t>
            </w:r>
            <w:r w:rsidR="00C93428">
              <w:rPr>
                <w:sz w:val="18"/>
                <w:szCs w:val="18"/>
              </w:rPr>
              <w:t>,</w:t>
            </w:r>
            <w:r>
              <w:rPr>
                <w:sz w:val="18"/>
                <w:szCs w:val="18"/>
              </w:rPr>
              <w:t>4</w:t>
            </w:r>
          </w:p>
        </w:tc>
        <w:tc>
          <w:tcPr>
            <w:tcW w:w="1500" w:type="dxa"/>
            <w:tcMar>
              <w:top w:w="60" w:type="dxa"/>
              <w:left w:w="100" w:type="dxa"/>
              <w:bottom w:w="60" w:type="dxa"/>
              <w:right w:w="100" w:type="dxa"/>
            </w:tcMar>
            <w:vAlign w:val="center"/>
          </w:tcPr>
          <w:p w14:paraId="4869BB13" w14:textId="795F599E" w:rsidR="00DE3C3C" w:rsidRDefault="003C7DFB" w:rsidP="00C93428">
            <w:pPr>
              <w:spacing w:after="0" w:line="240" w:lineRule="auto"/>
              <w:jc w:val="center"/>
              <w:rPr>
                <w:sz w:val="18"/>
                <w:szCs w:val="18"/>
              </w:rPr>
            </w:pPr>
            <w:r>
              <w:rPr>
                <w:sz w:val="18"/>
                <w:szCs w:val="18"/>
              </w:rPr>
              <w:t>14</w:t>
            </w:r>
            <w:r w:rsidR="00C93428">
              <w:rPr>
                <w:sz w:val="18"/>
                <w:szCs w:val="18"/>
              </w:rPr>
              <w:t>,</w:t>
            </w:r>
            <w:r>
              <w:rPr>
                <w:sz w:val="18"/>
                <w:szCs w:val="18"/>
              </w:rPr>
              <w:t>4</w:t>
            </w:r>
          </w:p>
        </w:tc>
        <w:tc>
          <w:tcPr>
            <w:tcW w:w="1500" w:type="dxa"/>
            <w:tcMar>
              <w:top w:w="60" w:type="dxa"/>
              <w:left w:w="100" w:type="dxa"/>
              <w:bottom w:w="60" w:type="dxa"/>
              <w:right w:w="100" w:type="dxa"/>
            </w:tcMar>
            <w:vAlign w:val="center"/>
          </w:tcPr>
          <w:p w14:paraId="1B3AA86A" w14:textId="504DBFDC" w:rsidR="00DE3C3C" w:rsidRDefault="003C7DFB" w:rsidP="00C93428">
            <w:pPr>
              <w:spacing w:after="0" w:line="240" w:lineRule="auto"/>
              <w:jc w:val="center"/>
              <w:rPr>
                <w:sz w:val="18"/>
                <w:szCs w:val="18"/>
              </w:rPr>
            </w:pPr>
            <w:r>
              <w:rPr>
                <w:sz w:val="18"/>
                <w:szCs w:val="18"/>
              </w:rPr>
              <w:t>11</w:t>
            </w:r>
            <w:r w:rsidR="00C93428">
              <w:rPr>
                <w:sz w:val="18"/>
                <w:szCs w:val="18"/>
              </w:rPr>
              <w:t>,</w:t>
            </w:r>
            <w:r>
              <w:rPr>
                <w:sz w:val="18"/>
                <w:szCs w:val="18"/>
              </w:rPr>
              <w:t>5</w:t>
            </w:r>
          </w:p>
        </w:tc>
        <w:tc>
          <w:tcPr>
            <w:tcW w:w="1520" w:type="dxa"/>
            <w:tcMar>
              <w:top w:w="60" w:type="dxa"/>
              <w:left w:w="100" w:type="dxa"/>
              <w:bottom w:w="60" w:type="dxa"/>
              <w:right w:w="100" w:type="dxa"/>
            </w:tcMar>
            <w:vAlign w:val="center"/>
          </w:tcPr>
          <w:p w14:paraId="345B9C30" w14:textId="153EAAEF" w:rsidR="00DE3C3C" w:rsidRDefault="003C7DFB" w:rsidP="00C93428">
            <w:pPr>
              <w:spacing w:after="0" w:line="240" w:lineRule="auto"/>
              <w:jc w:val="center"/>
              <w:rPr>
                <w:sz w:val="18"/>
                <w:szCs w:val="18"/>
              </w:rPr>
            </w:pPr>
            <w:r>
              <w:rPr>
                <w:sz w:val="18"/>
                <w:szCs w:val="18"/>
              </w:rPr>
              <w:t>18</w:t>
            </w:r>
            <w:r w:rsidR="00C93428">
              <w:rPr>
                <w:sz w:val="18"/>
                <w:szCs w:val="18"/>
              </w:rPr>
              <w:t>,</w:t>
            </w:r>
            <w:r>
              <w:rPr>
                <w:sz w:val="18"/>
                <w:szCs w:val="18"/>
              </w:rPr>
              <w:t>2</w:t>
            </w:r>
          </w:p>
        </w:tc>
        <w:tc>
          <w:tcPr>
            <w:tcW w:w="1520" w:type="dxa"/>
            <w:tcMar>
              <w:top w:w="60" w:type="dxa"/>
              <w:left w:w="100" w:type="dxa"/>
              <w:bottom w:w="60" w:type="dxa"/>
              <w:right w:w="100" w:type="dxa"/>
            </w:tcMar>
            <w:vAlign w:val="center"/>
          </w:tcPr>
          <w:p w14:paraId="3983A153" w14:textId="5293D806" w:rsidR="00DE3C3C" w:rsidRDefault="003C7DFB" w:rsidP="00C93428">
            <w:pPr>
              <w:spacing w:after="0" w:line="240" w:lineRule="auto"/>
              <w:jc w:val="center"/>
              <w:rPr>
                <w:sz w:val="18"/>
                <w:szCs w:val="18"/>
              </w:rPr>
            </w:pPr>
            <w:r>
              <w:rPr>
                <w:sz w:val="18"/>
                <w:szCs w:val="18"/>
              </w:rPr>
              <w:t>10</w:t>
            </w:r>
            <w:r w:rsidR="006D3408">
              <w:rPr>
                <w:sz w:val="18"/>
                <w:szCs w:val="18"/>
              </w:rPr>
              <w:t>,</w:t>
            </w:r>
            <w:r>
              <w:rPr>
                <w:sz w:val="18"/>
                <w:szCs w:val="18"/>
              </w:rPr>
              <w:t>2</w:t>
            </w:r>
          </w:p>
        </w:tc>
      </w:tr>
      <w:tr w:rsidR="00DE3C3C" w14:paraId="31798DB8" w14:textId="77777777" w:rsidTr="00C93428">
        <w:trPr>
          <w:cantSplit/>
          <w:jc w:val="center"/>
        </w:trPr>
        <w:tc>
          <w:tcPr>
            <w:tcW w:w="1375" w:type="dxa"/>
            <w:tcMar>
              <w:top w:w="60" w:type="dxa"/>
              <w:left w:w="100" w:type="dxa"/>
              <w:bottom w:w="60" w:type="dxa"/>
              <w:right w:w="100" w:type="dxa"/>
            </w:tcMar>
            <w:vAlign w:val="center"/>
          </w:tcPr>
          <w:p w14:paraId="26F0ACA8" w14:textId="77777777" w:rsidR="00DE3C3C" w:rsidRDefault="003C7DFB" w:rsidP="00C93428">
            <w:pPr>
              <w:spacing w:after="0" w:line="240" w:lineRule="auto"/>
              <w:jc w:val="center"/>
              <w:rPr>
                <w:sz w:val="18"/>
                <w:szCs w:val="18"/>
              </w:rPr>
            </w:pPr>
            <w:r>
              <w:rPr>
                <w:sz w:val="18"/>
                <w:szCs w:val="18"/>
              </w:rPr>
              <w:t>8%</w:t>
            </w:r>
          </w:p>
        </w:tc>
        <w:tc>
          <w:tcPr>
            <w:tcW w:w="1500" w:type="dxa"/>
            <w:tcMar>
              <w:top w:w="60" w:type="dxa"/>
              <w:left w:w="100" w:type="dxa"/>
              <w:bottom w:w="60" w:type="dxa"/>
              <w:right w:w="100" w:type="dxa"/>
            </w:tcMar>
            <w:vAlign w:val="center"/>
          </w:tcPr>
          <w:p w14:paraId="7A1C7C93" w14:textId="518C93F9" w:rsidR="00DE3C3C" w:rsidRDefault="003C7DFB" w:rsidP="00C93428">
            <w:pPr>
              <w:spacing w:after="0" w:line="240" w:lineRule="auto"/>
              <w:jc w:val="center"/>
              <w:rPr>
                <w:sz w:val="18"/>
                <w:szCs w:val="18"/>
              </w:rPr>
            </w:pPr>
            <w:r>
              <w:rPr>
                <w:sz w:val="18"/>
                <w:szCs w:val="18"/>
              </w:rPr>
              <w:t>10</w:t>
            </w:r>
            <w:r w:rsidR="00C93428">
              <w:rPr>
                <w:sz w:val="18"/>
                <w:szCs w:val="18"/>
              </w:rPr>
              <w:t>,</w:t>
            </w:r>
            <w:r>
              <w:rPr>
                <w:sz w:val="18"/>
                <w:szCs w:val="18"/>
              </w:rPr>
              <w:t>6</w:t>
            </w:r>
          </w:p>
        </w:tc>
        <w:tc>
          <w:tcPr>
            <w:tcW w:w="1500" w:type="dxa"/>
            <w:tcMar>
              <w:top w:w="60" w:type="dxa"/>
              <w:left w:w="100" w:type="dxa"/>
              <w:bottom w:w="60" w:type="dxa"/>
              <w:right w:w="100" w:type="dxa"/>
            </w:tcMar>
            <w:vAlign w:val="center"/>
          </w:tcPr>
          <w:p w14:paraId="31E4018C" w14:textId="01EFF186" w:rsidR="00DE3C3C" w:rsidRDefault="003C7DFB" w:rsidP="00C93428">
            <w:pPr>
              <w:spacing w:after="0" w:line="240" w:lineRule="auto"/>
              <w:jc w:val="center"/>
              <w:rPr>
                <w:sz w:val="18"/>
                <w:szCs w:val="18"/>
              </w:rPr>
            </w:pPr>
            <w:r>
              <w:rPr>
                <w:sz w:val="18"/>
                <w:szCs w:val="18"/>
              </w:rPr>
              <w:t>8</w:t>
            </w:r>
            <w:r w:rsidR="00C93428">
              <w:rPr>
                <w:sz w:val="18"/>
                <w:szCs w:val="18"/>
              </w:rPr>
              <w:t>,</w:t>
            </w:r>
            <w:r>
              <w:rPr>
                <w:sz w:val="18"/>
                <w:szCs w:val="18"/>
              </w:rPr>
              <w:t>1</w:t>
            </w:r>
          </w:p>
        </w:tc>
        <w:tc>
          <w:tcPr>
            <w:tcW w:w="1500" w:type="dxa"/>
            <w:tcMar>
              <w:top w:w="60" w:type="dxa"/>
              <w:left w:w="100" w:type="dxa"/>
              <w:bottom w:w="60" w:type="dxa"/>
              <w:right w:w="100" w:type="dxa"/>
            </w:tcMar>
            <w:vAlign w:val="center"/>
          </w:tcPr>
          <w:p w14:paraId="131C324D" w14:textId="3B1117F4" w:rsidR="00DE3C3C" w:rsidRDefault="003C7DFB" w:rsidP="00C93428">
            <w:pPr>
              <w:spacing w:after="0" w:line="240" w:lineRule="auto"/>
              <w:jc w:val="center"/>
              <w:rPr>
                <w:sz w:val="18"/>
                <w:szCs w:val="18"/>
              </w:rPr>
            </w:pPr>
            <w:r>
              <w:rPr>
                <w:sz w:val="18"/>
                <w:szCs w:val="18"/>
              </w:rPr>
              <w:t>6</w:t>
            </w:r>
            <w:r w:rsidR="00C93428">
              <w:rPr>
                <w:sz w:val="18"/>
                <w:szCs w:val="18"/>
              </w:rPr>
              <w:t>,</w:t>
            </w:r>
            <w:r>
              <w:rPr>
                <w:sz w:val="18"/>
                <w:szCs w:val="18"/>
              </w:rPr>
              <w:t>6</w:t>
            </w:r>
          </w:p>
        </w:tc>
        <w:tc>
          <w:tcPr>
            <w:tcW w:w="1520" w:type="dxa"/>
            <w:tcMar>
              <w:top w:w="60" w:type="dxa"/>
              <w:left w:w="100" w:type="dxa"/>
              <w:bottom w:w="60" w:type="dxa"/>
              <w:right w:w="100" w:type="dxa"/>
            </w:tcMar>
            <w:vAlign w:val="center"/>
          </w:tcPr>
          <w:p w14:paraId="3BC270AA" w14:textId="78F15387" w:rsidR="00DE3C3C" w:rsidRDefault="003C7DFB" w:rsidP="00C93428">
            <w:pPr>
              <w:spacing w:after="0" w:line="240" w:lineRule="auto"/>
              <w:jc w:val="center"/>
              <w:rPr>
                <w:sz w:val="18"/>
                <w:szCs w:val="18"/>
              </w:rPr>
            </w:pPr>
            <w:r>
              <w:rPr>
                <w:sz w:val="18"/>
                <w:szCs w:val="18"/>
              </w:rPr>
              <w:t>10</w:t>
            </w:r>
            <w:r w:rsidR="00C93428">
              <w:rPr>
                <w:sz w:val="18"/>
                <w:szCs w:val="18"/>
              </w:rPr>
              <w:t>,</w:t>
            </w:r>
            <w:r>
              <w:rPr>
                <w:sz w:val="18"/>
                <w:szCs w:val="18"/>
              </w:rPr>
              <w:t>0</w:t>
            </w:r>
          </w:p>
        </w:tc>
        <w:tc>
          <w:tcPr>
            <w:tcW w:w="1520" w:type="dxa"/>
            <w:tcMar>
              <w:top w:w="60" w:type="dxa"/>
              <w:left w:w="100" w:type="dxa"/>
              <w:bottom w:w="60" w:type="dxa"/>
              <w:right w:w="100" w:type="dxa"/>
            </w:tcMar>
            <w:vAlign w:val="center"/>
          </w:tcPr>
          <w:p w14:paraId="2D69088B" w14:textId="2182C22D" w:rsidR="00DE3C3C" w:rsidRDefault="003C7DFB" w:rsidP="00C93428">
            <w:pPr>
              <w:spacing w:after="0" w:line="240" w:lineRule="auto"/>
              <w:jc w:val="center"/>
              <w:rPr>
                <w:sz w:val="18"/>
                <w:szCs w:val="18"/>
              </w:rPr>
            </w:pPr>
            <w:r>
              <w:rPr>
                <w:sz w:val="18"/>
                <w:szCs w:val="18"/>
              </w:rPr>
              <w:t>5</w:t>
            </w:r>
            <w:r w:rsidR="006D3408">
              <w:rPr>
                <w:sz w:val="18"/>
                <w:szCs w:val="18"/>
              </w:rPr>
              <w:t>,</w:t>
            </w:r>
            <w:r>
              <w:rPr>
                <w:sz w:val="18"/>
                <w:szCs w:val="18"/>
              </w:rPr>
              <w:t>9</w:t>
            </w:r>
          </w:p>
        </w:tc>
      </w:tr>
      <w:tr w:rsidR="00DE3C3C" w14:paraId="27463E40" w14:textId="77777777" w:rsidTr="00C93428">
        <w:trPr>
          <w:cantSplit/>
          <w:jc w:val="center"/>
        </w:trPr>
        <w:tc>
          <w:tcPr>
            <w:tcW w:w="1375" w:type="dxa"/>
            <w:tcMar>
              <w:top w:w="60" w:type="dxa"/>
              <w:left w:w="100" w:type="dxa"/>
              <w:bottom w:w="60" w:type="dxa"/>
              <w:right w:w="100" w:type="dxa"/>
            </w:tcMar>
            <w:vAlign w:val="center"/>
          </w:tcPr>
          <w:p w14:paraId="1F3EA1CA" w14:textId="77777777" w:rsidR="00DE3C3C" w:rsidRDefault="003C7DFB" w:rsidP="00C93428">
            <w:pPr>
              <w:spacing w:after="0" w:line="240" w:lineRule="auto"/>
              <w:jc w:val="center"/>
              <w:rPr>
                <w:sz w:val="18"/>
                <w:szCs w:val="18"/>
              </w:rPr>
            </w:pPr>
            <w:r>
              <w:rPr>
                <w:sz w:val="18"/>
                <w:szCs w:val="18"/>
              </w:rPr>
              <w:t>12%</w:t>
            </w:r>
          </w:p>
        </w:tc>
        <w:tc>
          <w:tcPr>
            <w:tcW w:w="1500" w:type="dxa"/>
            <w:tcMar>
              <w:top w:w="60" w:type="dxa"/>
              <w:left w:w="100" w:type="dxa"/>
              <w:bottom w:w="60" w:type="dxa"/>
              <w:right w:w="100" w:type="dxa"/>
            </w:tcMar>
            <w:vAlign w:val="center"/>
          </w:tcPr>
          <w:p w14:paraId="40D182F9" w14:textId="6BD2BE03" w:rsidR="00DE3C3C" w:rsidRDefault="003C7DFB" w:rsidP="00C93428">
            <w:pPr>
              <w:spacing w:after="0" w:line="240" w:lineRule="auto"/>
              <w:jc w:val="center"/>
              <w:rPr>
                <w:sz w:val="18"/>
                <w:szCs w:val="18"/>
              </w:rPr>
            </w:pPr>
            <w:r>
              <w:rPr>
                <w:sz w:val="18"/>
                <w:szCs w:val="18"/>
              </w:rPr>
              <w:t>6</w:t>
            </w:r>
            <w:r w:rsidR="00C93428">
              <w:rPr>
                <w:sz w:val="18"/>
                <w:szCs w:val="18"/>
              </w:rPr>
              <w:t>,</w:t>
            </w:r>
            <w:r>
              <w:rPr>
                <w:sz w:val="18"/>
                <w:szCs w:val="18"/>
              </w:rPr>
              <w:t>6</w:t>
            </w:r>
          </w:p>
        </w:tc>
        <w:tc>
          <w:tcPr>
            <w:tcW w:w="1500" w:type="dxa"/>
            <w:tcMar>
              <w:top w:w="60" w:type="dxa"/>
              <w:left w:w="100" w:type="dxa"/>
              <w:bottom w:w="60" w:type="dxa"/>
              <w:right w:w="100" w:type="dxa"/>
            </w:tcMar>
            <w:vAlign w:val="center"/>
          </w:tcPr>
          <w:p w14:paraId="409A53F6" w14:textId="4E97BEB6" w:rsidR="00DE3C3C" w:rsidRDefault="003C7DFB" w:rsidP="00C93428">
            <w:pPr>
              <w:spacing w:after="0" w:line="240" w:lineRule="auto"/>
              <w:jc w:val="center"/>
              <w:rPr>
                <w:sz w:val="18"/>
                <w:szCs w:val="18"/>
              </w:rPr>
            </w:pPr>
            <w:r>
              <w:rPr>
                <w:sz w:val="18"/>
                <w:szCs w:val="18"/>
              </w:rPr>
              <w:t>5</w:t>
            </w:r>
            <w:r w:rsidR="00C93428">
              <w:rPr>
                <w:sz w:val="18"/>
                <w:szCs w:val="18"/>
              </w:rPr>
              <w:t>,</w:t>
            </w:r>
            <w:r>
              <w:rPr>
                <w:sz w:val="18"/>
                <w:szCs w:val="18"/>
              </w:rPr>
              <w:t>1</w:t>
            </w:r>
          </w:p>
        </w:tc>
        <w:tc>
          <w:tcPr>
            <w:tcW w:w="1500" w:type="dxa"/>
            <w:tcMar>
              <w:top w:w="60" w:type="dxa"/>
              <w:left w:w="100" w:type="dxa"/>
              <w:bottom w:w="60" w:type="dxa"/>
              <w:right w:w="100" w:type="dxa"/>
            </w:tcMar>
            <w:vAlign w:val="center"/>
          </w:tcPr>
          <w:p w14:paraId="7B93E579" w14:textId="783ABC9B" w:rsidR="00DE3C3C" w:rsidRDefault="003C7DFB" w:rsidP="00C93428">
            <w:pPr>
              <w:spacing w:after="0" w:line="240" w:lineRule="auto"/>
              <w:jc w:val="center"/>
              <w:rPr>
                <w:sz w:val="18"/>
                <w:szCs w:val="18"/>
              </w:rPr>
            </w:pPr>
            <w:r>
              <w:rPr>
                <w:sz w:val="18"/>
                <w:szCs w:val="18"/>
              </w:rPr>
              <w:t>4</w:t>
            </w:r>
            <w:r w:rsidR="00C93428">
              <w:rPr>
                <w:sz w:val="18"/>
                <w:szCs w:val="18"/>
              </w:rPr>
              <w:t>,</w:t>
            </w:r>
            <w:r>
              <w:rPr>
                <w:sz w:val="18"/>
                <w:szCs w:val="18"/>
              </w:rPr>
              <w:t>2</w:t>
            </w:r>
          </w:p>
        </w:tc>
        <w:tc>
          <w:tcPr>
            <w:tcW w:w="1520" w:type="dxa"/>
            <w:tcMar>
              <w:top w:w="60" w:type="dxa"/>
              <w:left w:w="100" w:type="dxa"/>
              <w:bottom w:w="60" w:type="dxa"/>
              <w:right w:w="100" w:type="dxa"/>
            </w:tcMar>
            <w:vAlign w:val="center"/>
          </w:tcPr>
          <w:p w14:paraId="73D73C61" w14:textId="6F7B55C6" w:rsidR="00DE3C3C" w:rsidRDefault="003C7DFB" w:rsidP="00C93428">
            <w:pPr>
              <w:spacing w:after="0" w:line="240" w:lineRule="auto"/>
              <w:jc w:val="center"/>
              <w:rPr>
                <w:sz w:val="18"/>
                <w:szCs w:val="18"/>
              </w:rPr>
            </w:pPr>
            <w:r>
              <w:rPr>
                <w:sz w:val="18"/>
                <w:szCs w:val="18"/>
              </w:rPr>
              <w:t>6</w:t>
            </w:r>
            <w:r w:rsidR="00C93428">
              <w:rPr>
                <w:sz w:val="18"/>
                <w:szCs w:val="18"/>
              </w:rPr>
              <w:t>,</w:t>
            </w:r>
            <w:r>
              <w:rPr>
                <w:sz w:val="18"/>
                <w:szCs w:val="18"/>
              </w:rPr>
              <w:t>2</w:t>
            </w:r>
          </w:p>
        </w:tc>
        <w:tc>
          <w:tcPr>
            <w:tcW w:w="1520" w:type="dxa"/>
            <w:tcMar>
              <w:top w:w="60" w:type="dxa"/>
              <w:left w:w="100" w:type="dxa"/>
              <w:bottom w:w="60" w:type="dxa"/>
              <w:right w:w="100" w:type="dxa"/>
            </w:tcMar>
            <w:vAlign w:val="center"/>
          </w:tcPr>
          <w:p w14:paraId="233444F5" w14:textId="6CCF7956" w:rsidR="00DE3C3C" w:rsidRDefault="003C7DFB" w:rsidP="00C93428">
            <w:pPr>
              <w:spacing w:after="0" w:line="240" w:lineRule="auto"/>
              <w:jc w:val="center"/>
              <w:rPr>
                <w:sz w:val="18"/>
                <w:szCs w:val="18"/>
              </w:rPr>
            </w:pPr>
            <w:r>
              <w:rPr>
                <w:sz w:val="18"/>
                <w:szCs w:val="18"/>
              </w:rPr>
              <w:t>3</w:t>
            </w:r>
            <w:r w:rsidR="006D3408">
              <w:rPr>
                <w:sz w:val="18"/>
                <w:szCs w:val="18"/>
              </w:rPr>
              <w:t>,</w:t>
            </w:r>
            <w:r>
              <w:rPr>
                <w:sz w:val="18"/>
                <w:szCs w:val="18"/>
              </w:rPr>
              <w:t>8</w:t>
            </w:r>
          </w:p>
        </w:tc>
      </w:tr>
      <w:tr w:rsidR="00DE3C3C" w14:paraId="7894C9A1" w14:textId="77777777" w:rsidTr="00C93428">
        <w:trPr>
          <w:cantSplit/>
          <w:jc w:val="center"/>
        </w:trPr>
        <w:tc>
          <w:tcPr>
            <w:tcW w:w="1375" w:type="dxa"/>
            <w:tcMar>
              <w:top w:w="60" w:type="dxa"/>
              <w:left w:w="100" w:type="dxa"/>
              <w:bottom w:w="60" w:type="dxa"/>
              <w:right w:w="100" w:type="dxa"/>
            </w:tcMar>
            <w:vAlign w:val="center"/>
          </w:tcPr>
          <w:p w14:paraId="4CCEEF85" w14:textId="77777777" w:rsidR="00DE3C3C" w:rsidRDefault="003C7DFB" w:rsidP="00C93428">
            <w:pPr>
              <w:spacing w:after="0" w:line="240" w:lineRule="auto"/>
              <w:jc w:val="center"/>
              <w:rPr>
                <w:sz w:val="18"/>
                <w:szCs w:val="18"/>
              </w:rPr>
            </w:pPr>
            <w:r>
              <w:rPr>
                <w:sz w:val="18"/>
                <w:szCs w:val="18"/>
              </w:rPr>
              <w:t>15%</w:t>
            </w:r>
          </w:p>
        </w:tc>
        <w:tc>
          <w:tcPr>
            <w:tcW w:w="1500" w:type="dxa"/>
            <w:tcMar>
              <w:top w:w="60" w:type="dxa"/>
              <w:left w:w="100" w:type="dxa"/>
              <w:bottom w:w="60" w:type="dxa"/>
              <w:right w:w="100" w:type="dxa"/>
            </w:tcMar>
            <w:vAlign w:val="center"/>
          </w:tcPr>
          <w:p w14:paraId="39C7AC17" w14:textId="6B96C8EC" w:rsidR="00DE3C3C" w:rsidRDefault="003C7DFB" w:rsidP="00C93428">
            <w:pPr>
              <w:spacing w:after="0" w:line="240" w:lineRule="auto"/>
              <w:jc w:val="center"/>
              <w:rPr>
                <w:sz w:val="18"/>
                <w:szCs w:val="18"/>
              </w:rPr>
            </w:pPr>
            <w:r>
              <w:rPr>
                <w:sz w:val="18"/>
                <w:szCs w:val="18"/>
              </w:rPr>
              <w:t>5</w:t>
            </w:r>
            <w:r w:rsidR="00C93428">
              <w:rPr>
                <w:sz w:val="18"/>
                <w:szCs w:val="18"/>
              </w:rPr>
              <w:t>,</w:t>
            </w:r>
            <w:r>
              <w:rPr>
                <w:sz w:val="18"/>
                <w:szCs w:val="18"/>
              </w:rPr>
              <w:t>1</w:t>
            </w:r>
          </w:p>
        </w:tc>
        <w:tc>
          <w:tcPr>
            <w:tcW w:w="1500" w:type="dxa"/>
            <w:tcMar>
              <w:top w:w="60" w:type="dxa"/>
              <w:left w:w="100" w:type="dxa"/>
              <w:bottom w:w="60" w:type="dxa"/>
              <w:right w:w="100" w:type="dxa"/>
            </w:tcMar>
            <w:vAlign w:val="center"/>
          </w:tcPr>
          <w:p w14:paraId="3C21C1FA" w14:textId="6D166AAC" w:rsidR="00DE3C3C" w:rsidRDefault="003C7DFB" w:rsidP="00C93428">
            <w:pPr>
              <w:spacing w:after="0" w:line="240" w:lineRule="auto"/>
              <w:jc w:val="center"/>
              <w:rPr>
                <w:sz w:val="18"/>
                <w:szCs w:val="18"/>
              </w:rPr>
            </w:pPr>
            <w:r>
              <w:rPr>
                <w:sz w:val="18"/>
                <w:szCs w:val="18"/>
              </w:rPr>
              <w:t>4</w:t>
            </w:r>
            <w:r w:rsidR="00C93428">
              <w:rPr>
                <w:sz w:val="18"/>
                <w:szCs w:val="18"/>
              </w:rPr>
              <w:t>,</w:t>
            </w:r>
            <w:r>
              <w:rPr>
                <w:sz w:val="18"/>
                <w:szCs w:val="18"/>
              </w:rPr>
              <w:t>0</w:t>
            </w:r>
          </w:p>
        </w:tc>
        <w:tc>
          <w:tcPr>
            <w:tcW w:w="1500" w:type="dxa"/>
            <w:tcMar>
              <w:top w:w="60" w:type="dxa"/>
              <w:left w:w="100" w:type="dxa"/>
              <w:bottom w:w="60" w:type="dxa"/>
              <w:right w:w="100" w:type="dxa"/>
            </w:tcMar>
            <w:vAlign w:val="center"/>
          </w:tcPr>
          <w:p w14:paraId="761B6291" w14:textId="5AFAED83" w:rsidR="00DE3C3C" w:rsidRDefault="003C7DFB" w:rsidP="00C93428">
            <w:pPr>
              <w:spacing w:after="0" w:line="240" w:lineRule="auto"/>
              <w:jc w:val="center"/>
              <w:rPr>
                <w:sz w:val="18"/>
                <w:szCs w:val="18"/>
              </w:rPr>
            </w:pPr>
            <w:r>
              <w:rPr>
                <w:sz w:val="18"/>
                <w:szCs w:val="18"/>
              </w:rPr>
              <w:t>3</w:t>
            </w:r>
            <w:r w:rsidR="00C93428">
              <w:rPr>
                <w:sz w:val="18"/>
                <w:szCs w:val="18"/>
              </w:rPr>
              <w:t>,</w:t>
            </w:r>
            <w:r>
              <w:rPr>
                <w:sz w:val="18"/>
                <w:szCs w:val="18"/>
              </w:rPr>
              <w:t>3</w:t>
            </w:r>
          </w:p>
        </w:tc>
        <w:tc>
          <w:tcPr>
            <w:tcW w:w="1520" w:type="dxa"/>
            <w:tcMar>
              <w:top w:w="60" w:type="dxa"/>
              <w:left w:w="100" w:type="dxa"/>
              <w:bottom w:w="60" w:type="dxa"/>
              <w:right w:w="100" w:type="dxa"/>
            </w:tcMar>
            <w:vAlign w:val="center"/>
          </w:tcPr>
          <w:p w14:paraId="13A15136" w14:textId="4F524771" w:rsidR="00DE3C3C" w:rsidRDefault="003C7DFB" w:rsidP="00C93428">
            <w:pPr>
              <w:spacing w:after="0" w:line="240" w:lineRule="auto"/>
              <w:jc w:val="center"/>
              <w:rPr>
                <w:sz w:val="18"/>
                <w:szCs w:val="18"/>
              </w:rPr>
            </w:pPr>
            <w:r>
              <w:rPr>
                <w:sz w:val="18"/>
                <w:szCs w:val="18"/>
              </w:rPr>
              <w:t>4</w:t>
            </w:r>
            <w:r w:rsidR="00C93428">
              <w:rPr>
                <w:sz w:val="18"/>
                <w:szCs w:val="18"/>
              </w:rPr>
              <w:t>,</w:t>
            </w:r>
            <w:r>
              <w:rPr>
                <w:sz w:val="18"/>
                <w:szCs w:val="18"/>
              </w:rPr>
              <w:t>9</w:t>
            </w:r>
          </w:p>
        </w:tc>
        <w:tc>
          <w:tcPr>
            <w:tcW w:w="1520" w:type="dxa"/>
            <w:tcMar>
              <w:top w:w="60" w:type="dxa"/>
              <w:left w:w="100" w:type="dxa"/>
              <w:bottom w:w="60" w:type="dxa"/>
              <w:right w:w="100" w:type="dxa"/>
            </w:tcMar>
            <w:vAlign w:val="center"/>
          </w:tcPr>
          <w:p w14:paraId="2EB533E6" w14:textId="2BDFF145" w:rsidR="00DE3C3C" w:rsidRDefault="003C7DFB" w:rsidP="00C93428">
            <w:pPr>
              <w:spacing w:after="0" w:line="240" w:lineRule="auto"/>
              <w:jc w:val="center"/>
              <w:rPr>
                <w:sz w:val="18"/>
                <w:szCs w:val="18"/>
              </w:rPr>
            </w:pPr>
            <w:r>
              <w:rPr>
                <w:sz w:val="18"/>
                <w:szCs w:val="18"/>
              </w:rPr>
              <w:t>3</w:t>
            </w:r>
            <w:r w:rsidR="006D3408">
              <w:rPr>
                <w:sz w:val="18"/>
                <w:szCs w:val="18"/>
              </w:rPr>
              <w:t>,</w:t>
            </w:r>
            <w:r>
              <w:rPr>
                <w:sz w:val="18"/>
                <w:szCs w:val="18"/>
              </w:rPr>
              <w:t>0</w:t>
            </w:r>
          </w:p>
        </w:tc>
      </w:tr>
    </w:tbl>
    <w:p w14:paraId="7F0825D6" w14:textId="152B91AD" w:rsidR="00DE3C3C" w:rsidRDefault="003C7DFB">
      <w:pPr>
        <w:spacing w:before="60" w:after="200" w:line="240" w:lineRule="auto"/>
        <w:jc w:val="both"/>
      </w:pPr>
      <w:r>
        <w:rPr>
          <w:i/>
          <w:iCs/>
          <w:sz w:val="18"/>
          <w:szCs w:val="18"/>
        </w:rPr>
        <w:t>Υπολογισμός του συγγραφέα. Επένδυση 3</w:t>
      </w:r>
      <w:r w:rsidR="007D20C3">
        <w:rPr>
          <w:i/>
          <w:iCs/>
          <w:sz w:val="18"/>
          <w:szCs w:val="18"/>
        </w:rPr>
        <w:t>,</w:t>
      </w:r>
      <w:r>
        <w:rPr>
          <w:i/>
          <w:iCs/>
          <w:sz w:val="18"/>
          <w:szCs w:val="18"/>
        </w:rPr>
        <w:t>5 εκατομμύρια</w:t>
      </w:r>
      <w:r w:rsidR="007D20C3" w:rsidRPr="007D20C3">
        <w:rPr>
          <w:i/>
          <w:iCs/>
          <w:sz w:val="18"/>
          <w:szCs w:val="18"/>
        </w:rPr>
        <w:t xml:space="preserve"> </w:t>
      </w:r>
      <w:r w:rsidR="007D20C3">
        <w:rPr>
          <w:i/>
          <w:iCs/>
          <w:sz w:val="18"/>
          <w:szCs w:val="18"/>
        </w:rPr>
        <w:t>EUR</w:t>
      </w:r>
      <w:r>
        <w:rPr>
          <w:i/>
          <w:iCs/>
          <w:sz w:val="18"/>
          <w:szCs w:val="18"/>
        </w:rPr>
        <w:t>, συντήρηση 2% της επένδυσης ετησίως, τιμή δικαιώματος 80</w:t>
      </w:r>
      <w:r w:rsidR="007D20C3" w:rsidRPr="007D20C3">
        <w:rPr>
          <w:i/>
          <w:iCs/>
          <w:sz w:val="18"/>
          <w:szCs w:val="18"/>
        </w:rPr>
        <w:t xml:space="preserve"> </w:t>
      </w:r>
      <w:r w:rsidR="007D20C3">
        <w:rPr>
          <w:i/>
          <w:iCs/>
          <w:sz w:val="18"/>
          <w:szCs w:val="18"/>
        </w:rPr>
        <w:t>EUR</w:t>
      </w:r>
      <w:r>
        <w:rPr>
          <w:i/>
          <w:iCs/>
          <w:sz w:val="18"/>
          <w:szCs w:val="18"/>
        </w:rPr>
        <w:t xml:space="preserve"> ανά τόνο σε πλήρη εφαρμογή (125</w:t>
      </w:r>
      <w:r w:rsidR="007D20C3" w:rsidRPr="007D20C3">
        <w:rPr>
          <w:i/>
          <w:iCs/>
          <w:sz w:val="18"/>
          <w:szCs w:val="18"/>
        </w:rPr>
        <w:t xml:space="preserve"> </w:t>
      </w:r>
      <w:r w:rsidR="007D20C3">
        <w:rPr>
          <w:i/>
          <w:iCs/>
          <w:sz w:val="18"/>
          <w:szCs w:val="18"/>
        </w:rPr>
        <w:t>EUR</w:t>
      </w:r>
      <w:r>
        <w:rPr>
          <w:i/>
          <w:iCs/>
          <w:sz w:val="18"/>
          <w:szCs w:val="18"/>
        </w:rPr>
        <w:t xml:space="preserve"> ανά τόνο καυσίμου στα ταξίδια εκτός ΕΕ και 249 </w:t>
      </w:r>
      <w:r w:rsidR="007D20C3">
        <w:rPr>
          <w:i/>
          <w:iCs/>
          <w:sz w:val="18"/>
          <w:szCs w:val="18"/>
        </w:rPr>
        <w:t xml:space="preserve">EUR </w:t>
      </w:r>
      <w:r>
        <w:rPr>
          <w:i/>
          <w:iCs/>
          <w:sz w:val="18"/>
          <w:szCs w:val="18"/>
        </w:rPr>
        <w:t xml:space="preserve">στα ταξίδια εντός ΕΕ, Πίνακας 10). Απλή περίοδος αποπληρωμής χωρίς προεξόφληση και χωρίς την επιβράβευση αιολικής ενέργειας του </w:t>
      </w:r>
      <w:proofErr w:type="spellStart"/>
      <w:r>
        <w:rPr>
          <w:i/>
          <w:iCs/>
          <w:sz w:val="18"/>
          <w:szCs w:val="18"/>
        </w:rPr>
        <w:t>FuelEU</w:t>
      </w:r>
      <w:proofErr w:type="spellEnd"/>
      <w:r>
        <w:rPr>
          <w:i/>
          <w:iCs/>
          <w:sz w:val="18"/>
          <w:szCs w:val="18"/>
        </w:rPr>
        <w:t>. Όλα τα δεδομένα εισόδου αποτελούν ενδεικτικές παραδοχές.</w:t>
      </w:r>
    </w:p>
    <w:p w14:paraId="2FCB49F5" w14:textId="77777777" w:rsidR="00E33C27" w:rsidRDefault="003C7DFB" w:rsidP="00E33C27">
      <w:pPr>
        <w:keepNext/>
        <w:spacing w:before="120" w:after="60"/>
        <w:jc w:val="center"/>
      </w:pPr>
      <w:r>
        <w:rPr>
          <w:noProof/>
        </w:rPr>
        <w:drawing>
          <wp:inline distT="0" distB="0" distL="0" distR="0" wp14:anchorId="7D4650BF" wp14:editId="0D9497B1">
            <wp:extent cx="5120640" cy="2990088"/>
            <wp:effectExtent l="0" t="0" r="0" b="0"/>
            <wp:docPr id="9002" name="WAPS_figure_19" descr="Γραμμικό διάγραμμα της απλής περιόδου αποπληρωμής (έτη) συναρτήσει της εξοικονόμησης καυσίμου για τρία σενάρια κόστους άνθρακ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 name="WAPS_figure_19"/>
                    <pic:cNvPicPr/>
                  </pic:nvPicPr>
                  <pic:blipFill>
                    <a:blip r:embed="rId32"/>
                    <a:stretch>
                      <a:fillRect/>
                    </a:stretch>
                  </pic:blipFill>
                  <pic:spPr>
                    <a:xfrm>
                      <a:off x="0" y="0"/>
                      <a:ext cx="5120640" cy="2990088"/>
                    </a:xfrm>
                    <a:prstGeom prst="rect">
                      <a:avLst/>
                    </a:prstGeom>
                  </pic:spPr>
                </pic:pic>
              </a:graphicData>
            </a:graphic>
          </wp:inline>
        </w:drawing>
      </w:r>
    </w:p>
    <w:p w14:paraId="4389A501" w14:textId="0C272671" w:rsidR="002C5EB1" w:rsidRDefault="00E33C27" w:rsidP="00E33C27">
      <w:pPr>
        <w:pStyle w:val="af2"/>
        <w:jc w:val="center"/>
      </w:pPr>
      <w:bookmarkStart w:id="186" w:name="_Toc243355388"/>
      <w:r>
        <w:rPr>
          <w:b/>
          <w:bCs/>
        </w:rPr>
        <w:t xml:space="preserve">Εικόνα </w:t>
      </w:r>
      <w:r>
        <w:rPr>
          <w:b/>
          <w:bCs/>
        </w:rPr>
        <w:fldChar w:fldCharType="begin"/>
      </w:r>
      <w:r>
        <w:rPr>
          <w:b/>
          <w:bCs/>
        </w:rPr>
        <w:instrText xml:space="preserve"> SEQ Figure \* ARABIC </w:instrText>
      </w:r>
      <w:r>
        <w:rPr>
          <w:b/>
          <w:bCs/>
        </w:rPr>
        <w:fldChar w:fldCharType="separate"/>
      </w:r>
      <w:r>
        <w:rPr>
          <w:b/>
          <w:bCs/>
          <w:noProof/>
        </w:rPr>
        <w:t>23</w:t>
      </w:r>
      <w:r>
        <w:rPr>
          <w:b/>
          <w:bCs/>
        </w:rPr>
        <w:fldChar w:fldCharType="end"/>
      </w:r>
      <w:r>
        <w:rPr>
          <w:b/>
          <w:bCs/>
        </w:rPr>
        <w:t>: Ενδεικτική απλή περίοδος αποπληρωμής μιας εγκατάστασης WAPS συναρτήσει της εξοικονόμησης καυσίμου, με και χωρίς το κόστος άνθρακα του EU ETS (παραδοχές όπως στον Πίνακα 13).</w:t>
      </w:r>
      <w:bookmarkEnd w:id="186"/>
    </w:p>
    <w:p w14:paraId="008D2A4E" w14:textId="77777777" w:rsidR="00DE3C3C" w:rsidRDefault="00DE3C3C">
      <w:pPr>
        <w:spacing w:after="120"/>
      </w:pPr>
    </w:p>
    <w:p w14:paraId="429C93E7" w14:textId="69318B82" w:rsidR="00DE3C3C" w:rsidRDefault="003C7DFB">
      <w:pPr>
        <w:spacing w:line="360" w:lineRule="auto"/>
        <w:ind w:firstLine="576"/>
        <w:jc w:val="both"/>
      </w:pPr>
      <w:r>
        <w:t xml:space="preserve">Τα αποτελέσματα του </w:t>
      </w:r>
      <w:r w:rsidRPr="007D20C3">
        <w:rPr>
          <w:b/>
          <w:bCs/>
        </w:rPr>
        <w:t>Πίνακα 1</w:t>
      </w:r>
      <w:r w:rsidR="00843378">
        <w:rPr>
          <w:b/>
          <w:bCs/>
        </w:rPr>
        <w:t>3</w:t>
      </w:r>
      <w:r>
        <w:t xml:space="preserve"> και </w:t>
      </w:r>
      <w:r w:rsidR="007D20C3">
        <w:t xml:space="preserve">της </w:t>
      </w:r>
      <w:r w:rsidR="007D20C3" w:rsidRPr="007D20C3">
        <w:rPr>
          <w:b/>
          <w:bCs/>
        </w:rPr>
        <w:t>Εικόνας</w:t>
      </w:r>
      <w:r w:rsidRPr="007D20C3">
        <w:rPr>
          <w:b/>
          <w:bCs/>
        </w:rPr>
        <w:t xml:space="preserve"> </w:t>
      </w:r>
      <w:r w:rsidR="00B14A31">
        <w:rPr>
          <w:b/>
          <w:bCs/>
        </w:rPr>
        <w:t>2</w:t>
      </w:r>
      <w:r w:rsidR="00843378">
        <w:rPr>
          <w:b/>
          <w:bCs/>
        </w:rPr>
        <w:t>3</w:t>
      </w:r>
      <w:r>
        <w:t xml:space="preserve"> οδηγούν σε μια σειρά συμπερασμάτων. Πρώτον, η περίοδος αποπληρωμής είναι πολύ ευαίσθητη σ</w:t>
      </w:r>
      <w:r w:rsidR="00B14A31">
        <w:t>ε σχέση με το</w:t>
      </w:r>
      <w:r>
        <w:t xml:space="preserve"> μέγεθος της εξοικονόμησης. Με την υποτιθέμενη επένδυση και κατανάλωση καυσίμου, μια εξοικονόμηση 3% δεν αποπληρώνει την επένδυση εντός της διάρκειας </w:t>
      </w:r>
      <w:r>
        <w:lastRenderedPageBreak/>
        <w:t>ζωής του πλοίου, καθώς απαιτεί περίπου 44 έτη χωρίς κόστος άνθρακα, ενώ μια εξοικονόμηση 12% την αποπληρώνει σε λιγότερο από επτά έτη ακόμη και χωρίς κόστος άνθρακα. Δεύτερον, το κόστος άνθρακα συντομεύει σημαντικά την περίοδο αποπληρωμής: για εξοικονόμηση 8%, η περίοδος αποπληρωμής μειώνεται από περίπου 10</w:t>
      </w:r>
      <w:r w:rsidR="00092E0A">
        <w:t>,</w:t>
      </w:r>
      <w:r>
        <w:t>6 έτη χωρίς κόστος άνθρακα σε περίπου 8</w:t>
      </w:r>
      <w:r w:rsidR="00092E0A">
        <w:t>,</w:t>
      </w:r>
      <w:r>
        <w:t>1 έτη σε ταξίδι εκτός ΕΕ και 6</w:t>
      </w:r>
      <w:r w:rsidR="00970A4C">
        <w:t>,</w:t>
      </w:r>
      <w:r>
        <w:t>6 έτη σε ταξίδι εντός ΕΕ. Με άλλα λόγια, η εξοικονόμηση που απαιτείται για περίοδο αποπληρωμής δέκα ετών μειώνεται από περίπου 8</w:t>
      </w:r>
      <w:r w:rsidR="00970A4C">
        <w:t>,</w:t>
      </w:r>
      <w:r>
        <w:t>4% χωρίς κόστος άνθρακα σε περίπου 6</w:t>
      </w:r>
      <w:r w:rsidR="00970A4C">
        <w:t>,</w:t>
      </w:r>
      <w:r>
        <w:t>7% σε ταξίδι εκτός ΕΕ και 5</w:t>
      </w:r>
      <w:r w:rsidR="00970A4C">
        <w:t>,</w:t>
      </w:r>
      <w:r>
        <w:t>6% σε ταξίδι εντός ΕΕ, ενώ η εξοικονόμηση που απαιτείται για περίοδο αποπληρωμής πέντε ετών μειώνεται από περίπου 15% σε περίπου 12% και 10%, αντίστοιχα. Τρίτον, η τιμή του καυσίμου έχει επίδραση παρόμοιου μεγέθους: για εξοικονόμηση 8% σε ταξίδι εκτός ΕΕ, η περίοδος αποπληρωμής είναι περίπου 5</w:t>
      </w:r>
      <w:r w:rsidR="00970A4C">
        <w:t>,</w:t>
      </w:r>
      <w:r>
        <w:t>9 έτη με τιμή καυσίμου 700</w:t>
      </w:r>
      <w:r w:rsidR="00970A4C" w:rsidRPr="00970A4C">
        <w:t xml:space="preserve"> </w:t>
      </w:r>
      <w:r w:rsidR="00970A4C">
        <w:t>EUR</w:t>
      </w:r>
      <w:r>
        <w:t xml:space="preserve"> ανά τόνο και 10 έτη με 400</w:t>
      </w:r>
      <w:r w:rsidR="00970A4C" w:rsidRPr="00970A4C">
        <w:t xml:space="preserve"> </w:t>
      </w:r>
      <w:r w:rsidR="00970A4C">
        <w:t>EUR</w:t>
      </w:r>
      <w:r>
        <w:t xml:space="preserve"> ανά τόνο. Τέταρτον,</w:t>
      </w:r>
      <w:r w:rsidR="00970A4C">
        <w:t xml:space="preserve"> </w:t>
      </w:r>
      <w:r>
        <w:t xml:space="preserve">το κριτήριο της πενταετούς περιόδου αποπληρωμής, το οποίο οι συνεντευξιαζόμενοι των </w:t>
      </w:r>
      <w:proofErr w:type="spellStart"/>
      <w:r>
        <w:t>Djoumessi</w:t>
      </w:r>
      <w:proofErr w:type="spellEnd"/>
      <w:r>
        <w:t xml:space="preserve"> </w:t>
      </w:r>
      <w:proofErr w:type="spellStart"/>
      <w:r>
        <w:t>et</w:t>
      </w:r>
      <w:proofErr w:type="spellEnd"/>
      <w:r>
        <w:t xml:space="preserve"> </w:t>
      </w:r>
      <w:proofErr w:type="spellStart"/>
      <w:r>
        <w:t>al</w:t>
      </w:r>
      <w:proofErr w:type="spellEnd"/>
      <w:r>
        <w:t>. περιέγραψαν ως τον κανόνα για τις μετασκευές [</w:t>
      </w:r>
      <w:r>
        <w:fldChar w:fldCharType="begin"/>
      </w:r>
      <w:r>
        <w:instrText xml:space="preserve"> REF _Ref_cit_34 \h \* MERGEFORMAT </w:instrText>
      </w:r>
      <w:r>
        <w:fldChar w:fldCharType="separate"/>
      </w:r>
      <w:r w:rsidR="00B0043E" w:rsidRPr="00B0043E">
        <w:t>34</w:t>
      </w:r>
      <w:r>
        <w:fldChar w:fldCharType="end"/>
      </w:r>
      <w:r>
        <w:t>], επιτυγχάνεται με την υποτιθέμενη επένδυση μόνο για εξοικονόμηση περίπου 10 έως 12% ή μεγαλύτερη όταν εφαρμόζεται η τιμή του άνθρακα, και είναι ανέφικτο για εξοικονόμηση χαμηλών μονοψήφιων ποσοστών, όπως αυτή που έχουν επιτύχει ορισμένες εγκαταστάσεις (</w:t>
      </w:r>
      <w:r w:rsidRPr="00D50710">
        <w:rPr>
          <w:b/>
          <w:bCs/>
        </w:rPr>
        <w:t>Πίνακας 8</w:t>
      </w:r>
      <w:r>
        <w:t>). Τα αποτελέσματα αυτά εξηγούν γιατί η εγκατεστημένη βάση συγκεντρώνεται σε λίγα μεγάλα πλοία σε διαδρομές με ισχυρούς ανέμους και γιατί οι συνεντευξιαζόμενοι θεωρούσαν τη ρύθμιση απαραίτητο κινητήριο παράγοντα [</w:t>
      </w:r>
      <w:r>
        <w:fldChar w:fldCharType="begin"/>
      </w:r>
      <w:r>
        <w:instrText xml:space="preserve"> REF _Ref_cit_34 \h \* MERGEFORMAT </w:instrText>
      </w:r>
      <w:r>
        <w:fldChar w:fldCharType="separate"/>
      </w:r>
      <w:r w:rsidR="00B0043E" w:rsidRPr="00B0043E">
        <w:t>34</w:t>
      </w:r>
      <w:r>
        <w:fldChar w:fldCharType="end"/>
      </w:r>
      <w:r>
        <w:t>]. Δείχνουν επίσης ότι το σύνολο των</w:t>
      </w:r>
      <w:r w:rsidR="00D50710">
        <w:t xml:space="preserve"> </w:t>
      </w:r>
      <w:r>
        <w:t>ωφελειών</w:t>
      </w:r>
      <w:r w:rsidR="00D50710">
        <w:t xml:space="preserve"> από τους κανονισμούς</w:t>
      </w:r>
      <w:r>
        <w:t xml:space="preserve">, μειώνοντας την εξοικονόμηση που απαιτείται για βιωσιμότητα κατά περίπου ένα πέμπτο έως ένα τρίτο, φέρνει ένα ευρύτερο φάσμα πλοίων εντός των κριτηρίων αποπληρωμής των πλοιοκτητών, και αυτή είναι η πρακτική επίδραση των ευρωπαϊκών κανονισμών στην αγορά των WAPS. Τα συμπεράσματα εξαρτώνται, βεβαίως, από την υποτιθέμενη επένδυση, και ένα χαμηλότερο κόστος ανά μονάδα εξοικονόμησης, όπως στην περίπτωση της νέας ναυπήγησης της Ενότητας 4.8.5, θα μετατόπιζε όλες τις καμπύλες </w:t>
      </w:r>
      <w:r w:rsidR="002D338D">
        <w:t xml:space="preserve">της </w:t>
      </w:r>
      <w:r w:rsidR="002D338D" w:rsidRPr="002D338D">
        <w:rPr>
          <w:b/>
          <w:bCs/>
        </w:rPr>
        <w:t>Εικόνας 2</w:t>
      </w:r>
      <w:r w:rsidR="00843378">
        <w:rPr>
          <w:b/>
          <w:bCs/>
        </w:rPr>
        <w:t>3</w:t>
      </w:r>
      <w:r>
        <w:t xml:space="preserve"> προς τα κάτω.</w:t>
      </w:r>
    </w:p>
    <w:p w14:paraId="0BE2ED26" w14:textId="21F92582" w:rsidR="00DE3C3C" w:rsidRDefault="001852CB">
      <w:pPr>
        <w:pStyle w:val="30"/>
      </w:pPr>
      <w:bookmarkStart w:id="187" w:name="_Toc243355349"/>
      <w:r>
        <w:t xml:space="preserve">Τα </w:t>
      </w:r>
      <w:r>
        <w:rPr>
          <w:lang w:val="en-US"/>
        </w:rPr>
        <w:t>WAPS</w:t>
      </w:r>
      <w:r w:rsidR="003C7DFB">
        <w:t xml:space="preserve"> σε επίπεδο στόλου</w:t>
      </w:r>
      <w:bookmarkEnd w:id="187"/>
    </w:p>
    <w:p w14:paraId="1BB07CC9" w14:textId="24B4AD8C" w:rsidR="00DE3C3C" w:rsidRDefault="003C7DFB" w:rsidP="007820BA">
      <w:pPr>
        <w:spacing w:line="360" w:lineRule="auto"/>
        <w:ind w:firstLine="576"/>
        <w:jc w:val="both"/>
      </w:pPr>
      <w:r>
        <w:t>Σύμφωνα με τα δεδομένα MRV του 2024, τα φορτηγά πλοία χύδην ξηρού φορτίου και τα δεξαμενόπλοια</w:t>
      </w:r>
      <w:r w:rsidR="007820BA">
        <w:t xml:space="preserve"> </w:t>
      </w:r>
      <w:r>
        <w:t>πετρελαίου εξέπεμψαν μαζί περίπου 41 εκατομμύρια τόνους CO₂ [</w:t>
      </w:r>
      <w:r>
        <w:fldChar w:fldCharType="begin"/>
      </w:r>
      <w:r>
        <w:instrText xml:space="preserve"> REF _Ref_cit_46 \h \* MERGEFORMAT </w:instrText>
      </w:r>
      <w:r>
        <w:fldChar w:fldCharType="separate"/>
      </w:r>
      <w:r w:rsidR="00B0043E" w:rsidRPr="00B0043E">
        <w:t>46</w:t>
      </w:r>
      <w:r>
        <w:fldChar w:fldCharType="end"/>
      </w:r>
      <w:r>
        <w:t xml:space="preserve">]. Εφαρμόζοντας το εύρος εξοικονόμησης καυσίμου που αναφέρθηκε </w:t>
      </w:r>
      <w:r>
        <w:lastRenderedPageBreak/>
        <w:t>στο Κεφάλαιο 2 για τα ιστία-</w:t>
      </w:r>
      <w:proofErr w:type="spellStart"/>
      <w:r>
        <w:t>ρότορες</w:t>
      </w:r>
      <w:proofErr w:type="spellEnd"/>
      <w:r>
        <w:t xml:space="preserve"> και τα WAPS σε μετασκευές, δηλαδή 4 έως 15% [</w:t>
      </w:r>
      <w:r>
        <w:fldChar w:fldCharType="begin"/>
      </w:r>
      <w:r>
        <w:instrText xml:space="preserve"> REF _Ref_cit_40 \h \* MERGEFORMAT </w:instrText>
      </w:r>
      <w:r>
        <w:fldChar w:fldCharType="separate"/>
      </w:r>
      <w:r w:rsidR="00B0043E" w:rsidRPr="00B0043E">
        <w:t>40</w:t>
      </w:r>
      <w:r>
        <w:fldChar w:fldCharType="end"/>
      </w:r>
      <w:r>
        <w:t xml:space="preserve">], και υποθέτοντας, για τον υπολογισμό ενός ανώτατου ορίου, ότι κάθε φορτηγό πλοίο χύδην ξηρού φορτίου και κάθε δεξαμενόπλοιο των δεδομένων MRV εξοπλιζόταν με τέτοιο σύστημα, η αντίστοιχη μείωση των εκπομπών θα ήταν όπως παρουσιάζεται στον </w:t>
      </w:r>
      <w:r w:rsidRPr="007820BA">
        <w:rPr>
          <w:b/>
          <w:bCs/>
        </w:rPr>
        <w:t>Πίνακα 1</w:t>
      </w:r>
      <w:r w:rsidR="00843378">
        <w:rPr>
          <w:b/>
          <w:bCs/>
        </w:rPr>
        <w:t>4</w:t>
      </w:r>
      <w:r>
        <w:t>.</w:t>
      </w:r>
    </w:p>
    <w:p w14:paraId="5CAFE46A" w14:textId="16C0FC76" w:rsidR="00DE3C3C" w:rsidRDefault="009734EE" w:rsidP="009734EE">
      <w:pPr>
        <w:pStyle w:val="af2"/>
        <w:keepNext/>
        <w:rPr>
          <w:b/>
          <w:bCs/>
          <w:noProof/>
        </w:rPr>
      </w:pPr>
      <w:r>
        <w:rPr>
          <w:b/>
          <w:bCs/>
        </w:rPr>
        <w:t>Πί</w:t>
      </w:r>
      <w:r w:rsidR="003C7DFB">
        <w:rPr>
          <w:b/>
          <w:bCs/>
        </w:rPr>
        <w:t xml:space="preserve">νακας </w:t>
      </w:r>
      <w:r w:rsidR="00843378">
        <w:rPr>
          <w:b/>
          <w:bCs/>
        </w:rPr>
        <w:t>14</w:t>
      </w:r>
      <w:r w:rsidR="003C7DFB">
        <w:rPr>
          <w:b/>
          <w:bCs/>
        </w:rPr>
        <w:t>: Θεωρητικό ανώτατο όριο της μείωσης εκπομπών που μπορεί να επιτευχθεί με WAPS σε όλα τα φορτηγά πλοία χύδην ξηρού φορτίου και τα δεξαμενόπλοια πετρελαίου που δηλώνονται στο MRV (δεδομένα 2024).</w:t>
      </w:r>
    </w:p>
    <w:tbl>
      <w:tblPr>
        <w:tblW w:w="8640"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3200"/>
        <w:gridCol w:w="2400"/>
        <w:gridCol w:w="3040"/>
      </w:tblGrid>
      <w:tr w:rsidR="00DE3C3C" w14:paraId="1170839C" w14:textId="77777777">
        <w:trPr>
          <w:cantSplit/>
          <w:tblHeader/>
          <w:jc w:val="center"/>
        </w:trPr>
        <w:tc>
          <w:tcPr>
            <w:tcW w:w="3200" w:type="dxa"/>
            <w:shd w:val="clear" w:color="auto" w:fill="D9D9D9"/>
            <w:tcMar>
              <w:top w:w="60" w:type="dxa"/>
              <w:left w:w="100" w:type="dxa"/>
              <w:bottom w:w="60" w:type="dxa"/>
              <w:right w:w="100" w:type="dxa"/>
            </w:tcMar>
            <w:vAlign w:val="center"/>
          </w:tcPr>
          <w:p w14:paraId="62DA9597" w14:textId="77777777" w:rsidR="00DE3C3C" w:rsidRDefault="003C7DFB" w:rsidP="007820BA">
            <w:pPr>
              <w:spacing w:after="0" w:line="240" w:lineRule="auto"/>
              <w:jc w:val="center"/>
              <w:rPr>
                <w:sz w:val="18"/>
                <w:szCs w:val="18"/>
              </w:rPr>
            </w:pPr>
            <w:r>
              <w:rPr>
                <w:b/>
                <w:bCs/>
                <w:sz w:val="18"/>
                <w:szCs w:val="18"/>
              </w:rPr>
              <w:t>Υποτιθέμενη μέση εξοικονόμηση καυσίμου του στόλου</w:t>
            </w:r>
          </w:p>
        </w:tc>
        <w:tc>
          <w:tcPr>
            <w:tcW w:w="2400" w:type="dxa"/>
            <w:shd w:val="clear" w:color="auto" w:fill="D9D9D9"/>
            <w:tcMar>
              <w:top w:w="60" w:type="dxa"/>
              <w:left w:w="100" w:type="dxa"/>
              <w:bottom w:w="60" w:type="dxa"/>
              <w:right w:w="100" w:type="dxa"/>
            </w:tcMar>
            <w:vAlign w:val="center"/>
          </w:tcPr>
          <w:p w14:paraId="76A9AEF3" w14:textId="77777777" w:rsidR="00DE3C3C" w:rsidRDefault="003C7DFB" w:rsidP="007820BA">
            <w:pPr>
              <w:spacing w:after="0" w:line="240" w:lineRule="auto"/>
              <w:jc w:val="center"/>
              <w:rPr>
                <w:sz w:val="18"/>
                <w:szCs w:val="18"/>
              </w:rPr>
            </w:pPr>
            <w:proofErr w:type="spellStart"/>
            <w:r>
              <w:rPr>
                <w:b/>
                <w:bCs/>
                <w:sz w:val="18"/>
                <w:szCs w:val="18"/>
              </w:rPr>
              <w:t>Αποφευχθέν</w:t>
            </w:r>
            <w:proofErr w:type="spellEnd"/>
            <w:r>
              <w:rPr>
                <w:b/>
                <w:bCs/>
                <w:sz w:val="18"/>
                <w:szCs w:val="18"/>
              </w:rPr>
              <w:t xml:space="preserve"> CO₂ (</w:t>
            </w:r>
            <w:proofErr w:type="spellStart"/>
            <w:r>
              <w:rPr>
                <w:b/>
                <w:bCs/>
                <w:sz w:val="18"/>
                <w:szCs w:val="18"/>
              </w:rPr>
              <w:t>Mt</w:t>
            </w:r>
            <w:proofErr w:type="spellEnd"/>
            <w:r>
              <w:rPr>
                <w:b/>
                <w:bCs/>
                <w:sz w:val="18"/>
                <w:szCs w:val="18"/>
              </w:rPr>
              <w:t>)</w:t>
            </w:r>
          </w:p>
        </w:tc>
        <w:tc>
          <w:tcPr>
            <w:tcW w:w="3040" w:type="dxa"/>
            <w:shd w:val="clear" w:color="auto" w:fill="D9D9D9"/>
            <w:tcMar>
              <w:top w:w="60" w:type="dxa"/>
              <w:left w:w="100" w:type="dxa"/>
              <w:bottom w:w="60" w:type="dxa"/>
              <w:right w:w="100" w:type="dxa"/>
            </w:tcMar>
            <w:vAlign w:val="center"/>
          </w:tcPr>
          <w:p w14:paraId="66A98C19" w14:textId="49538CCF" w:rsidR="00DE3C3C" w:rsidRDefault="003C7DFB" w:rsidP="007820BA">
            <w:pPr>
              <w:spacing w:after="0" w:line="240" w:lineRule="auto"/>
              <w:jc w:val="center"/>
              <w:rPr>
                <w:sz w:val="18"/>
                <w:szCs w:val="18"/>
              </w:rPr>
            </w:pPr>
            <w:r>
              <w:rPr>
                <w:b/>
                <w:bCs/>
                <w:sz w:val="18"/>
                <w:szCs w:val="18"/>
              </w:rPr>
              <w:t>Μερίδιο επί των συνολικών εκπομπών MRV (144</w:t>
            </w:r>
            <w:r w:rsidR="007820BA">
              <w:rPr>
                <w:b/>
                <w:bCs/>
                <w:sz w:val="18"/>
                <w:szCs w:val="18"/>
              </w:rPr>
              <w:t>,</w:t>
            </w:r>
            <w:r>
              <w:rPr>
                <w:b/>
                <w:bCs/>
                <w:sz w:val="18"/>
                <w:szCs w:val="18"/>
              </w:rPr>
              <w:t xml:space="preserve">9 </w:t>
            </w:r>
            <w:proofErr w:type="spellStart"/>
            <w:r>
              <w:rPr>
                <w:b/>
                <w:bCs/>
                <w:sz w:val="18"/>
                <w:szCs w:val="18"/>
              </w:rPr>
              <w:t>Mt</w:t>
            </w:r>
            <w:proofErr w:type="spellEnd"/>
            <w:r>
              <w:rPr>
                <w:b/>
                <w:bCs/>
                <w:sz w:val="18"/>
                <w:szCs w:val="18"/>
              </w:rPr>
              <w:t>)</w:t>
            </w:r>
          </w:p>
        </w:tc>
      </w:tr>
      <w:tr w:rsidR="00DE3C3C" w14:paraId="62D39BB1" w14:textId="77777777">
        <w:trPr>
          <w:cantSplit/>
          <w:jc w:val="center"/>
        </w:trPr>
        <w:tc>
          <w:tcPr>
            <w:tcW w:w="3200" w:type="dxa"/>
            <w:tcMar>
              <w:top w:w="60" w:type="dxa"/>
              <w:left w:w="100" w:type="dxa"/>
              <w:bottom w:w="60" w:type="dxa"/>
              <w:right w:w="100" w:type="dxa"/>
            </w:tcMar>
            <w:vAlign w:val="center"/>
          </w:tcPr>
          <w:p w14:paraId="2475BA0F" w14:textId="77777777" w:rsidR="00DE3C3C" w:rsidRDefault="003C7DFB" w:rsidP="007820BA">
            <w:pPr>
              <w:spacing w:after="0" w:line="240" w:lineRule="auto"/>
              <w:jc w:val="center"/>
              <w:rPr>
                <w:sz w:val="18"/>
                <w:szCs w:val="18"/>
              </w:rPr>
            </w:pPr>
            <w:r>
              <w:rPr>
                <w:sz w:val="18"/>
                <w:szCs w:val="18"/>
              </w:rPr>
              <w:t>4%</w:t>
            </w:r>
          </w:p>
        </w:tc>
        <w:tc>
          <w:tcPr>
            <w:tcW w:w="2400" w:type="dxa"/>
            <w:tcMar>
              <w:top w:w="60" w:type="dxa"/>
              <w:left w:w="100" w:type="dxa"/>
              <w:bottom w:w="60" w:type="dxa"/>
              <w:right w:w="100" w:type="dxa"/>
            </w:tcMar>
            <w:vAlign w:val="center"/>
          </w:tcPr>
          <w:p w14:paraId="536FA8BD" w14:textId="6E9D77A9" w:rsidR="00DE3C3C" w:rsidRDefault="003C7DFB" w:rsidP="007820BA">
            <w:pPr>
              <w:spacing w:after="0" w:line="240" w:lineRule="auto"/>
              <w:jc w:val="center"/>
              <w:rPr>
                <w:sz w:val="18"/>
                <w:szCs w:val="18"/>
              </w:rPr>
            </w:pPr>
            <w:r>
              <w:rPr>
                <w:sz w:val="18"/>
                <w:szCs w:val="18"/>
              </w:rPr>
              <w:t>1</w:t>
            </w:r>
            <w:r w:rsidR="007820BA">
              <w:rPr>
                <w:sz w:val="18"/>
                <w:szCs w:val="18"/>
              </w:rPr>
              <w:t>,</w:t>
            </w:r>
            <w:r>
              <w:rPr>
                <w:sz w:val="18"/>
                <w:szCs w:val="18"/>
              </w:rPr>
              <w:t>6</w:t>
            </w:r>
          </w:p>
        </w:tc>
        <w:tc>
          <w:tcPr>
            <w:tcW w:w="3040" w:type="dxa"/>
            <w:tcMar>
              <w:top w:w="60" w:type="dxa"/>
              <w:left w:w="100" w:type="dxa"/>
              <w:bottom w:w="60" w:type="dxa"/>
              <w:right w:w="100" w:type="dxa"/>
            </w:tcMar>
            <w:vAlign w:val="center"/>
          </w:tcPr>
          <w:p w14:paraId="7DA94BF3" w14:textId="3177C708" w:rsidR="00DE3C3C" w:rsidRDefault="003C7DFB" w:rsidP="007820BA">
            <w:pPr>
              <w:spacing w:after="0" w:line="240" w:lineRule="auto"/>
              <w:jc w:val="center"/>
              <w:rPr>
                <w:sz w:val="18"/>
                <w:szCs w:val="18"/>
              </w:rPr>
            </w:pPr>
            <w:r>
              <w:rPr>
                <w:sz w:val="18"/>
                <w:szCs w:val="18"/>
              </w:rPr>
              <w:t>1</w:t>
            </w:r>
            <w:r w:rsidR="007820BA">
              <w:rPr>
                <w:sz w:val="18"/>
                <w:szCs w:val="18"/>
              </w:rPr>
              <w:t>,</w:t>
            </w:r>
            <w:r>
              <w:rPr>
                <w:sz w:val="18"/>
                <w:szCs w:val="18"/>
              </w:rPr>
              <w:t>1%</w:t>
            </w:r>
          </w:p>
        </w:tc>
      </w:tr>
      <w:tr w:rsidR="00DE3C3C" w14:paraId="2CE96D2B" w14:textId="77777777">
        <w:trPr>
          <w:cantSplit/>
          <w:jc w:val="center"/>
        </w:trPr>
        <w:tc>
          <w:tcPr>
            <w:tcW w:w="3200" w:type="dxa"/>
            <w:tcMar>
              <w:top w:w="60" w:type="dxa"/>
              <w:left w:w="100" w:type="dxa"/>
              <w:bottom w:w="60" w:type="dxa"/>
              <w:right w:w="100" w:type="dxa"/>
            </w:tcMar>
            <w:vAlign w:val="center"/>
          </w:tcPr>
          <w:p w14:paraId="6B08BD39" w14:textId="77777777" w:rsidR="00DE3C3C" w:rsidRDefault="003C7DFB" w:rsidP="007820BA">
            <w:pPr>
              <w:spacing w:after="0" w:line="240" w:lineRule="auto"/>
              <w:jc w:val="center"/>
              <w:rPr>
                <w:sz w:val="18"/>
                <w:szCs w:val="18"/>
              </w:rPr>
            </w:pPr>
            <w:r>
              <w:rPr>
                <w:sz w:val="18"/>
                <w:szCs w:val="18"/>
              </w:rPr>
              <w:t>5%</w:t>
            </w:r>
          </w:p>
        </w:tc>
        <w:tc>
          <w:tcPr>
            <w:tcW w:w="2400" w:type="dxa"/>
            <w:tcMar>
              <w:top w:w="60" w:type="dxa"/>
              <w:left w:w="100" w:type="dxa"/>
              <w:bottom w:w="60" w:type="dxa"/>
              <w:right w:w="100" w:type="dxa"/>
            </w:tcMar>
            <w:vAlign w:val="center"/>
          </w:tcPr>
          <w:p w14:paraId="49503170" w14:textId="0CAB6C3A" w:rsidR="00DE3C3C" w:rsidRDefault="003C7DFB" w:rsidP="007820BA">
            <w:pPr>
              <w:spacing w:after="0" w:line="240" w:lineRule="auto"/>
              <w:jc w:val="center"/>
              <w:rPr>
                <w:sz w:val="18"/>
                <w:szCs w:val="18"/>
              </w:rPr>
            </w:pPr>
            <w:r>
              <w:rPr>
                <w:sz w:val="18"/>
                <w:szCs w:val="18"/>
              </w:rPr>
              <w:t>2</w:t>
            </w:r>
            <w:r w:rsidR="007820BA">
              <w:rPr>
                <w:sz w:val="18"/>
                <w:szCs w:val="18"/>
              </w:rPr>
              <w:t>,</w:t>
            </w:r>
            <w:r>
              <w:rPr>
                <w:sz w:val="18"/>
                <w:szCs w:val="18"/>
              </w:rPr>
              <w:t>1</w:t>
            </w:r>
          </w:p>
        </w:tc>
        <w:tc>
          <w:tcPr>
            <w:tcW w:w="3040" w:type="dxa"/>
            <w:tcMar>
              <w:top w:w="60" w:type="dxa"/>
              <w:left w:w="100" w:type="dxa"/>
              <w:bottom w:w="60" w:type="dxa"/>
              <w:right w:w="100" w:type="dxa"/>
            </w:tcMar>
            <w:vAlign w:val="center"/>
          </w:tcPr>
          <w:p w14:paraId="248567BC" w14:textId="408F6840" w:rsidR="00DE3C3C" w:rsidRDefault="003C7DFB" w:rsidP="007820BA">
            <w:pPr>
              <w:spacing w:after="0" w:line="240" w:lineRule="auto"/>
              <w:jc w:val="center"/>
              <w:rPr>
                <w:sz w:val="18"/>
                <w:szCs w:val="18"/>
              </w:rPr>
            </w:pPr>
            <w:r>
              <w:rPr>
                <w:sz w:val="18"/>
                <w:szCs w:val="18"/>
              </w:rPr>
              <w:t>1</w:t>
            </w:r>
            <w:r w:rsidR="007820BA">
              <w:rPr>
                <w:sz w:val="18"/>
                <w:szCs w:val="18"/>
              </w:rPr>
              <w:t>,</w:t>
            </w:r>
            <w:r>
              <w:rPr>
                <w:sz w:val="18"/>
                <w:szCs w:val="18"/>
              </w:rPr>
              <w:t>4%</w:t>
            </w:r>
          </w:p>
        </w:tc>
      </w:tr>
      <w:tr w:rsidR="00DE3C3C" w14:paraId="56022AB7" w14:textId="77777777">
        <w:trPr>
          <w:cantSplit/>
          <w:jc w:val="center"/>
        </w:trPr>
        <w:tc>
          <w:tcPr>
            <w:tcW w:w="3200" w:type="dxa"/>
            <w:tcMar>
              <w:top w:w="60" w:type="dxa"/>
              <w:left w:w="100" w:type="dxa"/>
              <w:bottom w:w="60" w:type="dxa"/>
              <w:right w:w="100" w:type="dxa"/>
            </w:tcMar>
            <w:vAlign w:val="center"/>
          </w:tcPr>
          <w:p w14:paraId="120DC43E" w14:textId="77777777" w:rsidR="00DE3C3C" w:rsidRDefault="003C7DFB" w:rsidP="007820BA">
            <w:pPr>
              <w:spacing w:after="0" w:line="240" w:lineRule="auto"/>
              <w:jc w:val="center"/>
              <w:rPr>
                <w:sz w:val="18"/>
                <w:szCs w:val="18"/>
              </w:rPr>
            </w:pPr>
            <w:r>
              <w:rPr>
                <w:sz w:val="18"/>
                <w:szCs w:val="18"/>
              </w:rPr>
              <w:t>10%</w:t>
            </w:r>
          </w:p>
        </w:tc>
        <w:tc>
          <w:tcPr>
            <w:tcW w:w="2400" w:type="dxa"/>
            <w:tcMar>
              <w:top w:w="60" w:type="dxa"/>
              <w:left w:w="100" w:type="dxa"/>
              <w:bottom w:w="60" w:type="dxa"/>
              <w:right w:w="100" w:type="dxa"/>
            </w:tcMar>
            <w:vAlign w:val="center"/>
          </w:tcPr>
          <w:p w14:paraId="352E4C26" w14:textId="327D9EC4" w:rsidR="00DE3C3C" w:rsidRDefault="003C7DFB" w:rsidP="007820BA">
            <w:pPr>
              <w:spacing w:after="0" w:line="240" w:lineRule="auto"/>
              <w:jc w:val="center"/>
              <w:rPr>
                <w:sz w:val="18"/>
                <w:szCs w:val="18"/>
              </w:rPr>
            </w:pPr>
            <w:r>
              <w:rPr>
                <w:sz w:val="18"/>
                <w:szCs w:val="18"/>
              </w:rPr>
              <w:t>4</w:t>
            </w:r>
            <w:r w:rsidR="007820BA">
              <w:rPr>
                <w:sz w:val="18"/>
                <w:szCs w:val="18"/>
              </w:rPr>
              <w:t>,</w:t>
            </w:r>
            <w:r>
              <w:rPr>
                <w:sz w:val="18"/>
                <w:szCs w:val="18"/>
              </w:rPr>
              <w:t>1</w:t>
            </w:r>
          </w:p>
        </w:tc>
        <w:tc>
          <w:tcPr>
            <w:tcW w:w="3040" w:type="dxa"/>
            <w:tcMar>
              <w:top w:w="60" w:type="dxa"/>
              <w:left w:w="100" w:type="dxa"/>
              <w:bottom w:w="60" w:type="dxa"/>
              <w:right w:w="100" w:type="dxa"/>
            </w:tcMar>
            <w:vAlign w:val="center"/>
          </w:tcPr>
          <w:p w14:paraId="4C2C2E89" w14:textId="71B3DE20" w:rsidR="00DE3C3C" w:rsidRDefault="003C7DFB" w:rsidP="007820BA">
            <w:pPr>
              <w:spacing w:after="0" w:line="240" w:lineRule="auto"/>
              <w:jc w:val="center"/>
              <w:rPr>
                <w:sz w:val="18"/>
                <w:szCs w:val="18"/>
              </w:rPr>
            </w:pPr>
            <w:r>
              <w:rPr>
                <w:sz w:val="18"/>
                <w:szCs w:val="18"/>
              </w:rPr>
              <w:t>2</w:t>
            </w:r>
            <w:r w:rsidR="007820BA">
              <w:rPr>
                <w:sz w:val="18"/>
                <w:szCs w:val="18"/>
              </w:rPr>
              <w:t>,</w:t>
            </w:r>
            <w:r>
              <w:rPr>
                <w:sz w:val="18"/>
                <w:szCs w:val="18"/>
              </w:rPr>
              <w:t>8%</w:t>
            </w:r>
          </w:p>
        </w:tc>
      </w:tr>
      <w:tr w:rsidR="00DE3C3C" w14:paraId="2B3FE027" w14:textId="77777777">
        <w:trPr>
          <w:cantSplit/>
          <w:jc w:val="center"/>
        </w:trPr>
        <w:tc>
          <w:tcPr>
            <w:tcW w:w="3200" w:type="dxa"/>
            <w:tcMar>
              <w:top w:w="60" w:type="dxa"/>
              <w:left w:w="100" w:type="dxa"/>
              <w:bottom w:w="60" w:type="dxa"/>
              <w:right w:w="100" w:type="dxa"/>
            </w:tcMar>
            <w:vAlign w:val="center"/>
          </w:tcPr>
          <w:p w14:paraId="2C2D8C5E" w14:textId="77777777" w:rsidR="00DE3C3C" w:rsidRDefault="003C7DFB" w:rsidP="007820BA">
            <w:pPr>
              <w:spacing w:after="0" w:line="240" w:lineRule="auto"/>
              <w:jc w:val="center"/>
              <w:rPr>
                <w:sz w:val="18"/>
                <w:szCs w:val="18"/>
              </w:rPr>
            </w:pPr>
            <w:r>
              <w:rPr>
                <w:sz w:val="18"/>
                <w:szCs w:val="18"/>
              </w:rPr>
              <w:t>15%</w:t>
            </w:r>
          </w:p>
        </w:tc>
        <w:tc>
          <w:tcPr>
            <w:tcW w:w="2400" w:type="dxa"/>
            <w:tcMar>
              <w:top w:w="60" w:type="dxa"/>
              <w:left w:w="100" w:type="dxa"/>
              <w:bottom w:w="60" w:type="dxa"/>
              <w:right w:w="100" w:type="dxa"/>
            </w:tcMar>
            <w:vAlign w:val="center"/>
          </w:tcPr>
          <w:p w14:paraId="6A6EBC7A" w14:textId="02E891C0" w:rsidR="00DE3C3C" w:rsidRDefault="003C7DFB" w:rsidP="007820BA">
            <w:pPr>
              <w:spacing w:after="0" w:line="240" w:lineRule="auto"/>
              <w:jc w:val="center"/>
              <w:rPr>
                <w:sz w:val="18"/>
                <w:szCs w:val="18"/>
              </w:rPr>
            </w:pPr>
            <w:r>
              <w:rPr>
                <w:sz w:val="18"/>
                <w:szCs w:val="18"/>
              </w:rPr>
              <w:t>6</w:t>
            </w:r>
            <w:r w:rsidR="007820BA">
              <w:rPr>
                <w:sz w:val="18"/>
                <w:szCs w:val="18"/>
              </w:rPr>
              <w:t>,</w:t>
            </w:r>
            <w:r>
              <w:rPr>
                <w:sz w:val="18"/>
                <w:szCs w:val="18"/>
              </w:rPr>
              <w:t>2</w:t>
            </w:r>
          </w:p>
        </w:tc>
        <w:tc>
          <w:tcPr>
            <w:tcW w:w="3040" w:type="dxa"/>
            <w:tcMar>
              <w:top w:w="60" w:type="dxa"/>
              <w:left w:w="100" w:type="dxa"/>
              <w:bottom w:w="60" w:type="dxa"/>
              <w:right w:w="100" w:type="dxa"/>
            </w:tcMar>
            <w:vAlign w:val="center"/>
          </w:tcPr>
          <w:p w14:paraId="3541755A" w14:textId="45D97B4D" w:rsidR="00DE3C3C" w:rsidRDefault="003C7DFB" w:rsidP="007820BA">
            <w:pPr>
              <w:spacing w:after="0" w:line="240" w:lineRule="auto"/>
              <w:jc w:val="center"/>
              <w:rPr>
                <w:sz w:val="18"/>
                <w:szCs w:val="18"/>
              </w:rPr>
            </w:pPr>
            <w:r>
              <w:rPr>
                <w:sz w:val="18"/>
                <w:szCs w:val="18"/>
              </w:rPr>
              <w:t>4</w:t>
            </w:r>
            <w:r w:rsidR="007820BA">
              <w:rPr>
                <w:sz w:val="18"/>
                <w:szCs w:val="18"/>
              </w:rPr>
              <w:t>,</w:t>
            </w:r>
            <w:r>
              <w:rPr>
                <w:sz w:val="18"/>
                <w:szCs w:val="18"/>
              </w:rPr>
              <w:t>2%</w:t>
            </w:r>
          </w:p>
        </w:tc>
      </w:tr>
    </w:tbl>
    <w:p w14:paraId="4C870592" w14:textId="039AB9BC" w:rsidR="00DE3C3C" w:rsidRDefault="003C7DFB">
      <w:pPr>
        <w:spacing w:before="60" w:after="200" w:line="240" w:lineRule="auto"/>
        <w:jc w:val="both"/>
      </w:pPr>
      <w:r>
        <w:rPr>
          <w:i/>
          <w:iCs/>
          <w:sz w:val="18"/>
          <w:szCs w:val="18"/>
        </w:rPr>
        <w:t xml:space="preserve">Υπολογισμός του συγγραφέα με βάση ≈ 41 </w:t>
      </w:r>
      <w:proofErr w:type="spellStart"/>
      <w:r>
        <w:rPr>
          <w:i/>
          <w:iCs/>
          <w:sz w:val="18"/>
          <w:szCs w:val="18"/>
        </w:rPr>
        <w:t>Mt</w:t>
      </w:r>
      <w:proofErr w:type="spellEnd"/>
      <w:r>
        <w:rPr>
          <w:i/>
          <w:iCs/>
          <w:sz w:val="18"/>
          <w:szCs w:val="18"/>
        </w:rPr>
        <w:t xml:space="preserve"> για τα φορτηγά πλοία χύδην ξηρού φορτίου και τα δεξαμενόπλοια πετρελαίου το 2024 [</w:t>
      </w:r>
      <w:r>
        <w:rPr>
          <w:i/>
          <w:iCs/>
          <w:sz w:val="18"/>
          <w:szCs w:val="18"/>
        </w:rPr>
        <w:fldChar w:fldCharType="begin"/>
      </w:r>
      <w:r>
        <w:rPr>
          <w:i/>
          <w:iCs/>
          <w:sz w:val="18"/>
          <w:szCs w:val="18"/>
        </w:rPr>
        <w:instrText xml:space="preserve"> REF _Ref_cit_46 \h \* MERGEFORMAT </w:instrText>
      </w:r>
      <w:r>
        <w:rPr>
          <w:i/>
          <w:iCs/>
          <w:sz w:val="18"/>
          <w:szCs w:val="18"/>
        </w:rPr>
      </w:r>
      <w:r>
        <w:rPr>
          <w:i/>
          <w:iCs/>
          <w:sz w:val="18"/>
          <w:szCs w:val="18"/>
        </w:rPr>
        <w:fldChar w:fldCharType="separate"/>
      </w:r>
      <w:r w:rsidR="00B0043E" w:rsidRPr="00B0043E">
        <w:rPr>
          <w:i/>
          <w:iCs/>
          <w:sz w:val="18"/>
          <w:szCs w:val="18"/>
        </w:rPr>
        <w:t>46</w:t>
      </w:r>
      <w:r>
        <w:rPr>
          <w:i/>
          <w:iCs/>
          <w:sz w:val="18"/>
          <w:szCs w:val="18"/>
        </w:rPr>
        <w:fldChar w:fldCharType="end"/>
      </w:r>
      <w:r>
        <w:rPr>
          <w:i/>
          <w:iCs/>
          <w:sz w:val="18"/>
          <w:szCs w:val="18"/>
        </w:rPr>
        <w:t>]. Το σενάριο υποθέτει καθολική υιοθέτηση και δεν αποτελεί πρόβλεψη.</w:t>
      </w:r>
    </w:p>
    <w:p w14:paraId="72ED7DDD" w14:textId="485999D7" w:rsidR="00DE3C3C" w:rsidRDefault="003C7DFB">
      <w:pPr>
        <w:spacing w:line="360" w:lineRule="auto"/>
        <w:ind w:firstLine="576"/>
        <w:jc w:val="both"/>
      </w:pPr>
      <w:r>
        <w:t>Ακόμη και υπό τη μη ρεαλιστική παραδοχή της καθολικής υιοθέτησης, η μείωση ανέρχεται σε περίπου 1 έως 4% των εκπομπών που δηλώνονται στο σύστημα MRV. Δεδομένου ότι μεσοπρόθεσμα μόνο ένα μικρό μέρος του στόλου είναι πιθανό να εξοπλιστεί με WAPS, και ότι η μέση εξοικονόμηση του στόλου εξαρτάται έντονα από τη διαδρομή και το αιολικό κλίμα, όπως συζητήθηκε στην Ενότητα 2.3.1, η ρεαλιστική συμβολή είναι σημαντικά χαμηλότερη. Το αποτέλεσμα επιβεβαιώνει ότι τα WAPS αποτελούν μέτρο βελτίωσης</w:t>
      </w:r>
      <w:r w:rsidR="007820BA">
        <w:t xml:space="preserve"> μείωσης των εκπομπών</w:t>
      </w:r>
      <w:r>
        <w:t xml:space="preserve">, η σημασία του οποίου έγκειται στη βελτίωση των οικονομικών και της κανονιστικής συμμόρφωσης μεμονωμένων πλοίων, και όχι μέσο για την επίτευξη της ευρωπαϊκής πορείας </w:t>
      </w:r>
      <w:proofErr w:type="spellStart"/>
      <w:r>
        <w:t>απανθρακοποίησης</w:t>
      </w:r>
      <w:proofErr w:type="spellEnd"/>
      <w:r>
        <w:t xml:space="preserve"> από μόνα τους.</w:t>
      </w:r>
    </w:p>
    <w:p w14:paraId="1C028099" w14:textId="77777777" w:rsidR="00DE3C3C" w:rsidRDefault="003C7DFB">
      <w:pPr>
        <w:pStyle w:val="20"/>
      </w:pPr>
      <w:bookmarkStart w:id="188" w:name="_Toc243355350"/>
      <w:r>
        <w:t>Σύνοψη</w:t>
      </w:r>
      <w:bookmarkEnd w:id="188"/>
    </w:p>
    <w:p w14:paraId="270C240F" w14:textId="2FA2FCCF" w:rsidR="00DE3C3C" w:rsidRDefault="003C7DFB">
      <w:pPr>
        <w:spacing w:line="360" w:lineRule="auto"/>
        <w:ind w:firstLine="576"/>
        <w:jc w:val="both"/>
      </w:pPr>
      <w:r>
        <w:t>Το παρόν κεφάλαιο έδειξε ότι οι θαλάσσιες μεταφορές στην Ευρώπη εξέπεμψαν 144</w:t>
      </w:r>
      <w:r w:rsidR="007820BA">
        <w:t>,</w:t>
      </w:r>
      <w:r>
        <w:t>9 εκατομμύρια τόνους CO₂ το 2024, 12</w:t>
      </w:r>
      <w:r w:rsidR="007820BA">
        <w:t>,</w:t>
      </w:r>
      <w:r>
        <w:t xml:space="preserve">9% περισσότερο από το 2023, με τα πλοία μεταφοράς εμπορευματοκιβωτίων να ευθύνονται για το 37% του συνόλου και τα φορτηγά πλοία χύδην ξηρού φορτίου και τα δεξαμενόπλοια πετρελαίου για ένα επιπλέον 28%, και ότι ο στόλος παρέμεινε εξαρτημένος σε ποσοστό άνω του 90% από τα συμβατικά καύσιμα. Αυτό συνάδει με την παγκόσμια εικόνα, στην οποία τα μακρύτερα ταξίδια και ένας στόλος που ανανεώνεται αργά, με μέση ηλικία άνω των 12 ετών σταθμισμένη ως προς τη χωρητικότητα </w:t>
      </w:r>
      <w:r w:rsidR="006A072A">
        <w:fldChar w:fldCharType="begin"/>
      </w:r>
      <w:r w:rsidR="006A072A">
        <w:instrText xml:space="preserve"> ADDIN ZOTERO_ITEM CSL_CITATION {"citationID":"mKDMoAfD","properties":{"unsorted":false,"formattedCitation":"[1]","plainCitation":"[1]","noteIndex":0},"citationItems":[{"id":18,"uris":["http://zotero.org/users/local/Un35Kg4H/items/N3G79I9Z","http://zotero.org/users/19904160/items/N3G79I9Z"],"itemData":{"id":18,"type":"book","ISBN":"978-92-1-154528-9","language":"en","note":"OCLC: 1568195671","publisher":"UNITED NATIONS","publisher-place":"S.l.","source":"Open WorldCat","title":"REVIEW OF MARITIME TRANSPORT 2025: staying the course in turbulent waters","title-short":"REVIEW OF MARITIME TRANSPORT 2025","issued":{"date-parts":[["2026"]]}}}],"schema":"https://github.com/citation-style-language/schema/raw/master/csl-citation.json"} </w:instrText>
      </w:r>
      <w:r w:rsidR="006A072A">
        <w:fldChar w:fldCharType="separate"/>
      </w:r>
      <w:r w:rsidR="006A072A" w:rsidRPr="006A072A">
        <w:rPr>
          <w:rFonts w:cs="Times New Roman"/>
        </w:rPr>
        <w:t>[1]</w:t>
      </w:r>
      <w:r w:rsidR="006A072A">
        <w:fldChar w:fldCharType="end"/>
      </w:r>
      <w:r>
        <w:t xml:space="preserve">, διατηρούν τη ζήτηση για μέτρα </w:t>
      </w:r>
      <w:r>
        <w:lastRenderedPageBreak/>
        <w:t xml:space="preserve">εξοικονόμησης καυσίμου. Η απάντηση από τον Κανονισμό MRV, το EU ETS, το οποίο φθάνει σταδιακά σε πλήρη κάλυψη των εκπομπών από το 2026, με κάλυψη κατά το ήμισυ των ταξιδιών εκτός ΕΕ, και τον </w:t>
      </w:r>
      <w:proofErr w:type="spellStart"/>
      <w:r>
        <w:t>FuelEU</w:t>
      </w:r>
      <w:proofErr w:type="spellEnd"/>
      <w:r>
        <w:t xml:space="preserve"> Maritime, ο οποίος θέτει όριο έντασης αερίων θερμοκηπίου σε βάση </w:t>
      </w:r>
      <w:proofErr w:type="spellStart"/>
      <w:r>
        <w:t>well-to-wake</w:t>
      </w:r>
      <w:proofErr w:type="spellEnd"/>
      <w:r>
        <w:t xml:space="preserve"> που </w:t>
      </w:r>
      <w:proofErr w:type="spellStart"/>
      <w:r>
        <w:t>αυστηροποιείται</w:t>
      </w:r>
      <w:proofErr w:type="spellEnd"/>
      <w:r>
        <w:t xml:space="preserve"> από 2% το 2025 σε 80% το 2050 και επιβραβεύει ρητά την αιολική πρόωση με συντελεστή έως και 0</w:t>
      </w:r>
      <w:r w:rsidR="007820BA">
        <w:t>,</w:t>
      </w:r>
      <w:r>
        <w:t>95. Τα εργαλεία αυτά συμπληρώνονται από το πλαίσιο του IMO, δηλαδή τη Στρατηγική του 2023, τους δείκτες EEDI, EEXI και CII και το SEEMP Μέρος III, ενώ το Πλαίσιο Μηδενικών Καθαρών Εκπομπών του IMO δεν έχει υιοθετηθεί κατά τον χρόνο συγγραφής.</w:t>
      </w:r>
    </w:p>
    <w:p w14:paraId="17D008F3" w14:textId="0627D1D5" w:rsidR="00DE3C3C" w:rsidRDefault="003C7DFB">
      <w:pPr>
        <w:spacing w:line="360" w:lineRule="auto"/>
        <w:ind w:firstLine="576"/>
        <w:jc w:val="both"/>
      </w:pPr>
      <w:r>
        <w:t>Τα στοιχεία για τα WAPS παρουσιάζουν μια τεχνολογία ώριμη για τα ιστία-</w:t>
      </w:r>
      <w:proofErr w:type="spellStart"/>
      <w:r>
        <w:t>ρότορες</w:t>
      </w:r>
      <w:proofErr w:type="spellEnd"/>
      <w:r>
        <w:t xml:space="preserve">, τις πτέρυγες αναρρόφησης και τα </w:t>
      </w:r>
      <w:r w:rsidR="007820BA">
        <w:t>άκαμπτα</w:t>
      </w:r>
      <w:r>
        <w:t xml:space="preserve"> ιστία, αλλά ακόμη οριακή στον στόλο, με λιγότερο από το 0</w:t>
      </w:r>
      <w:r w:rsidR="007820BA">
        <w:t>,</w:t>
      </w:r>
      <w:r>
        <w:t xml:space="preserve">03% των πλοίων εξοπλισμένο. Η εξοικονόμηση που </w:t>
      </w:r>
      <w:proofErr w:type="spellStart"/>
      <w:r>
        <w:t>μετράται</w:t>
      </w:r>
      <w:proofErr w:type="spellEnd"/>
      <w:r>
        <w:t xml:space="preserve"> σε πλοία σε λειτουργία είναι συνήθως κάτω από 15% και συχνά κάτω από 10%, χαμηλότερη από τις τιμές των προσομοιώσεων, ενώ η επαλήθευσή της, η οποία αποτελεί προϋπόθεση για την αναγνώριση στον EEDI, στον </w:t>
      </w:r>
      <w:proofErr w:type="spellStart"/>
      <w:r>
        <w:t>FuelEU</w:t>
      </w:r>
      <w:proofErr w:type="spellEnd"/>
      <w:r>
        <w:t xml:space="preserve"> Maritime και στις αποφάσεις χρηματοδότησης, βρίσκεται ακόμη σε διαδικασία τυποποίησης. Το οικονομικό καθορίζεται από την εξοικονόμηση καυσίμου, το κόστος επένδυσης και τις τιμές καυσίμου και άνθρακα, και περιορίζεται στην πράξη από την περίοδο αποπληρωμής περίπου πέντε ετών που απαιτούν οι πλοιοκτήτες, καθώς και από τον διαχωρισμό κόστους και οφέλους μεταξύ πλοιοκτητών, ναυλωτών και διαχειριστών. Για τα WAPS, οι κανονισμοί μετατρέπουν την εξοικονόμηση καυσίμου σε τρεις πηγές αξίας: το </w:t>
      </w:r>
      <w:proofErr w:type="spellStart"/>
      <w:r>
        <w:t>αποφευγόμενο</w:t>
      </w:r>
      <w:proofErr w:type="spellEnd"/>
      <w:r>
        <w:t xml:space="preserve"> κόστος αγοράς καυσίμου, το </w:t>
      </w:r>
      <w:proofErr w:type="spellStart"/>
      <w:r>
        <w:t>αποφευγόμενο</w:t>
      </w:r>
      <w:proofErr w:type="spellEnd"/>
      <w:r>
        <w:t xml:space="preserve"> κόστος άνθρακα, της τάξης των 190</w:t>
      </w:r>
      <w:r w:rsidR="00F81A72" w:rsidRPr="00F81A72">
        <w:t xml:space="preserve"> </w:t>
      </w:r>
      <w:r w:rsidR="00F81A72">
        <w:t>EUR</w:t>
      </w:r>
      <w:r>
        <w:t xml:space="preserve"> έως 310</w:t>
      </w:r>
      <w:r w:rsidR="00F81A72" w:rsidRPr="00F81A72">
        <w:t xml:space="preserve"> </w:t>
      </w:r>
      <w:r w:rsidR="00F81A72">
        <w:t>EUR</w:t>
      </w:r>
      <w:r>
        <w:t xml:space="preserve"> ανά τόνο καυσίμου στα ταξίδια εντός ΕΕ για τιμές δικαιωμάτων 60</w:t>
      </w:r>
      <w:r w:rsidR="00F81A72" w:rsidRPr="00F81A72">
        <w:t xml:space="preserve"> </w:t>
      </w:r>
      <w:r w:rsidR="00F81A72">
        <w:t>EUR</w:t>
      </w:r>
      <w:r>
        <w:t xml:space="preserve"> έως 100</w:t>
      </w:r>
      <w:r w:rsidR="00F81A72" w:rsidRPr="00F81A72">
        <w:t xml:space="preserve"> </w:t>
      </w:r>
      <w:r w:rsidR="00F81A72">
        <w:t>EUR</w:t>
      </w:r>
      <w:r>
        <w:t xml:space="preserve">, και ένα ευνοϊκότερο ισοζύγιο συμμόρφωσης στο πλαίσιο του </w:t>
      </w:r>
      <w:proofErr w:type="spellStart"/>
      <w:r>
        <w:t>FuelEU</w:t>
      </w:r>
      <w:proofErr w:type="spellEnd"/>
      <w:r>
        <w:t xml:space="preserve"> Maritime.</w:t>
      </w:r>
      <w:r w:rsidR="00F81A72">
        <w:t xml:space="preserve"> </w:t>
      </w:r>
      <w:r>
        <w:t>Σε έναν ενδεικτικό υπολογισμό, το κόστος άνθρακα μειώνει την εξοικονόμηση που απαιτείται για περίοδο αποπληρωμής δέκα ετών από περίπου 8% σε περίπου 6%, και για περίοδο αποπληρωμής πέντε ετών από περίπου 15% σε 10–12%. Ο συντελεστής επιβράβευσης αιολικής ενέργειας είναι σημαντικός στις πρώτες κανονιστικές περιόδους, αλλά δεν επαρκεί από μόνος του για τα όρια της δεκαετίας του 2030 και μετά· τα WAPS συμπληρώνουν τα εναλλακτικά καύσιμα, τα οποία είναι σημαντικά ακριβότερα, και η θεωρητική συμβολή τους σε επίπεδο στόλου περιορίζεται σε λίγες ποσοστιαίες μονάδες των ευρωπαϊκών εκπομπών της ναυτιλίας. Τα ευρήματα αυτά πλαισιώνουν τη συζήτηση του επόμενου κεφαλαίου.</w:t>
      </w:r>
    </w:p>
    <w:p w14:paraId="22F42048" w14:textId="3D748560" w:rsidR="00DE3C3C" w:rsidRDefault="00DD7DA9">
      <w:pPr>
        <w:pStyle w:val="11"/>
      </w:pPr>
      <w:bookmarkStart w:id="189" w:name="_Toc243355351"/>
      <w:r>
        <w:lastRenderedPageBreak/>
        <w:t>Αξιολόγηση ευρημάτων</w:t>
      </w:r>
      <w:bookmarkEnd w:id="189"/>
      <w:r>
        <w:t xml:space="preserve"> </w:t>
      </w:r>
    </w:p>
    <w:p w14:paraId="0A872102" w14:textId="77777777" w:rsidR="00DE3C3C" w:rsidRDefault="003C7DFB">
      <w:pPr>
        <w:pStyle w:val="20"/>
      </w:pPr>
      <w:bookmarkStart w:id="190" w:name="_Toc243355352"/>
      <w:r>
        <w:t>Σύνθεση των τεχνικών, οικονομικών και κανονιστικών ευρημάτων</w:t>
      </w:r>
      <w:bookmarkEnd w:id="190"/>
    </w:p>
    <w:p w14:paraId="7D09FBB3" w14:textId="2A542131" w:rsidR="00DE3C3C" w:rsidRDefault="003C7DFB">
      <w:pPr>
        <w:spacing w:line="360" w:lineRule="auto"/>
        <w:ind w:firstLine="576"/>
        <w:jc w:val="both"/>
      </w:pPr>
      <w:r>
        <w:t xml:space="preserve">Τα προηγούμενα κεφάλαια προσέγγισαν την αξιολόγηση της αιολικής υποβοήθησης της πρόωσης από τρεις κατευθύνσεις. Το Κεφάλαιο 2 περιέγραψε τις τεχνολογίες και τους παράγοντες που καθορίζουν την </w:t>
      </w:r>
      <w:r w:rsidR="0071584C">
        <w:t>από</w:t>
      </w:r>
      <w:r>
        <w:t>δοσή τους, δηλαδή τις συνθήκες ανέμου, τον τύπο του πλοίου και τη διαδρομή, τη διάταξη της εγκατάστασης και την ενσωμάτωση με την κύρια μηχανή. Το Κεφάλαιο 3 διαμόρφωσε το πλαίσιο αξιολόγησης, τους τεχνοοικονομικούς δείκτες και τα στοιχεία που είναι διαθέσιμα στη βιβλιογραφία, ενώ το Κεφάλαιο 4 τεκμηρίωσε το πλαίσιο των εκπομπών και των κανονισμών στην Ευρώπη. Το παρόν κεφάλαιο τα συνδυάζει, προκειμένου να προσδιορίσει τι σημαίνουν τα στοιχεία αυτά για τη βιωσιμότητα των WAPS και πού βρίσκονται τα όριά τους.</w:t>
      </w:r>
    </w:p>
    <w:p w14:paraId="030A0827" w14:textId="5726EAC3" w:rsidR="00DE3C3C" w:rsidRDefault="00042C75">
      <w:pPr>
        <w:spacing w:line="360" w:lineRule="auto"/>
        <w:ind w:firstLine="576"/>
        <w:jc w:val="both"/>
      </w:pPr>
      <w:r>
        <w:t xml:space="preserve">Το κύριο </w:t>
      </w:r>
      <w:r w:rsidR="0098083B">
        <w:t>εύρημα</w:t>
      </w:r>
      <w:r w:rsidR="003C7DFB">
        <w:t xml:space="preserve"> είναι ότι το κανονιστικό πλαίσιο δεν μεταβάλλει τη φυσική της αιολικής πρόωσης, αλλά μεταβάλλει την αξία της. Μια δεδομένη ποσοστιαία εξοικονόμηση καυσίμου αξίζει περισσότερο όταν υπάρχουν μια τιμή εμπορίας εκπομπών και ένα πρότυπο έντασης καυσίμου από ό,τι θα άξιζε μόνο με βάση την τιμή του καυσίμου, και το μέγεθος αυτής της πρόσθετης αξίας εξαρτάται από το πού και πώς δραστηριοποιείται το πλοίο. Ο </w:t>
      </w:r>
      <w:r w:rsidR="003C7DFB" w:rsidRPr="00445172">
        <w:rPr>
          <w:b/>
          <w:bCs/>
        </w:rPr>
        <w:t>Πίνακας 1</w:t>
      </w:r>
      <w:r w:rsidR="009734EE">
        <w:rPr>
          <w:b/>
          <w:bCs/>
        </w:rPr>
        <w:t>5</w:t>
      </w:r>
      <w:r w:rsidR="003C7DFB" w:rsidRPr="00445172">
        <w:rPr>
          <w:b/>
          <w:bCs/>
        </w:rPr>
        <w:t xml:space="preserve"> </w:t>
      </w:r>
      <w:r w:rsidR="003C7DFB">
        <w:t xml:space="preserve">συνοψίζει τον τρόπο με τον οποίο τα WAPS εντάσσονται σε κάθε έναν από τους κύριους κανονιστικούς μηχανισμούς, τη </w:t>
      </w:r>
      <w:r w:rsidR="00076F2B">
        <w:t>μορφή</w:t>
      </w:r>
      <w:r w:rsidR="003C7DFB">
        <w:t xml:space="preserve"> του οφέλους που προκύπτει και την κύρια αβεβαιότητα που το συνοδεύει.</w:t>
      </w:r>
    </w:p>
    <w:p w14:paraId="07E086A6" w14:textId="4B9A3172" w:rsidR="00E96A37" w:rsidRDefault="00E96A37">
      <w:r>
        <w:br w:type="page"/>
      </w:r>
    </w:p>
    <w:p w14:paraId="32E7790A" w14:textId="0CBAED29" w:rsidR="00DE3C3C" w:rsidRDefault="003C7DFB">
      <w:pPr>
        <w:pStyle w:val="af2"/>
        <w:keepNext/>
        <w:jc w:val="center"/>
        <w:rPr>
          <w:b/>
          <w:bCs/>
          <w:noProof/>
        </w:rPr>
      </w:pPr>
      <w:r>
        <w:rPr>
          <w:b/>
          <w:bCs/>
        </w:rPr>
        <w:lastRenderedPageBreak/>
        <w:t xml:space="preserve">Πίνακας </w:t>
      </w:r>
      <w:r>
        <w:rPr>
          <w:b/>
          <w:bCs/>
        </w:rPr>
        <w:fldChar w:fldCharType="begin"/>
      </w:r>
      <w:r>
        <w:rPr>
          <w:b/>
          <w:bCs/>
        </w:rPr>
        <w:instrText xml:space="preserve"> SEQ Table \* ARABIC </w:instrText>
      </w:r>
      <w:r>
        <w:rPr>
          <w:b/>
          <w:bCs/>
        </w:rPr>
        <w:fldChar w:fldCharType="separate"/>
      </w:r>
      <w:r w:rsidR="009734EE">
        <w:rPr>
          <w:b/>
          <w:bCs/>
          <w:noProof/>
        </w:rPr>
        <w:t>1</w:t>
      </w:r>
      <w:r>
        <w:rPr>
          <w:b/>
          <w:bCs/>
        </w:rPr>
        <w:fldChar w:fldCharType="end"/>
      </w:r>
      <w:r w:rsidR="009734EE">
        <w:rPr>
          <w:b/>
          <w:bCs/>
        </w:rPr>
        <w:t>5</w:t>
      </w:r>
      <w:r>
        <w:rPr>
          <w:b/>
          <w:bCs/>
        </w:rPr>
        <w:t>: Σύνοψη της αλληλεπίδρασης μεταξύ των WAPS και των κανονιστικών μηχανισμών που εξετάστηκαν.</w:t>
      </w:r>
    </w:p>
    <w:tbl>
      <w:tblPr>
        <w:tblW w:w="8640"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1500"/>
        <w:gridCol w:w="2200"/>
        <w:gridCol w:w="2500"/>
        <w:gridCol w:w="2440"/>
      </w:tblGrid>
      <w:tr w:rsidR="00DE3C3C" w14:paraId="46FC3045" w14:textId="77777777">
        <w:trPr>
          <w:cantSplit/>
          <w:tblHeader/>
          <w:jc w:val="center"/>
        </w:trPr>
        <w:tc>
          <w:tcPr>
            <w:tcW w:w="1500" w:type="dxa"/>
            <w:shd w:val="clear" w:color="auto" w:fill="D9D9D9"/>
            <w:tcMar>
              <w:top w:w="60" w:type="dxa"/>
              <w:left w:w="100" w:type="dxa"/>
              <w:bottom w:w="60" w:type="dxa"/>
              <w:right w:w="100" w:type="dxa"/>
            </w:tcMar>
            <w:vAlign w:val="center"/>
          </w:tcPr>
          <w:p w14:paraId="751B494D" w14:textId="77777777" w:rsidR="00DE3C3C" w:rsidRDefault="003C7DFB" w:rsidP="0075435D">
            <w:pPr>
              <w:spacing w:after="0" w:line="240" w:lineRule="auto"/>
              <w:jc w:val="center"/>
              <w:rPr>
                <w:sz w:val="18"/>
                <w:szCs w:val="18"/>
              </w:rPr>
            </w:pPr>
            <w:r>
              <w:rPr>
                <w:b/>
                <w:bCs/>
                <w:sz w:val="18"/>
                <w:szCs w:val="18"/>
              </w:rPr>
              <w:t>Μηχανισμός</w:t>
            </w:r>
          </w:p>
        </w:tc>
        <w:tc>
          <w:tcPr>
            <w:tcW w:w="2200" w:type="dxa"/>
            <w:shd w:val="clear" w:color="auto" w:fill="D9D9D9"/>
            <w:tcMar>
              <w:top w:w="60" w:type="dxa"/>
              <w:left w:w="100" w:type="dxa"/>
              <w:bottom w:w="60" w:type="dxa"/>
              <w:right w:w="100" w:type="dxa"/>
            </w:tcMar>
            <w:vAlign w:val="center"/>
          </w:tcPr>
          <w:p w14:paraId="32D8098E" w14:textId="77777777" w:rsidR="00DE3C3C" w:rsidRDefault="003C7DFB" w:rsidP="0075435D">
            <w:pPr>
              <w:spacing w:after="0" w:line="240" w:lineRule="auto"/>
              <w:jc w:val="center"/>
              <w:rPr>
                <w:sz w:val="18"/>
                <w:szCs w:val="18"/>
              </w:rPr>
            </w:pPr>
            <w:r>
              <w:rPr>
                <w:b/>
                <w:bCs/>
                <w:sz w:val="18"/>
                <w:szCs w:val="18"/>
              </w:rPr>
              <w:t>Πώς εντάσσονται τα WAPS</w:t>
            </w:r>
          </w:p>
        </w:tc>
        <w:tc>
          <w:tcPr>
            <w:tcW w:w="2500" w:type="dxa"/>
            <w:shd w:val="clear" w:color="auto" w:fill="D9D9D9"/>
            <w:tcMar>
              <w:top w:w="60" w:type="dxa"/>
              <w:left w:w="100" w:type="dxa"/>
              <w:bottom w:w="60" w:type="dxa"/>
              <w:right w:w="100" w:type="dxa"/>
            </w:tcMar>
            <w:vAlign w:val="center"/>
          </w:tcPr>
          <w:p w14:paraId="24F36CB9" w14:textId="7AA44BDD" w:rsidR="00DE3C3C" w:rsidRDefault="00076F2B" w:rsidP="0075435D">
            <w:pPr>
              <w:spacing w:after="0" w:line="240" w:lineRule="auto"/>
              <w:jc w:val="center"/>
              <w:rPr>
                <w:sz w:val="18"/>
                <w:szCs w:val="18"/>
              </w:rPr>
            </w:pPr>
            <w:r>
              <w:rPr>
                <w:b/>
                <w:bCs/>
                <w:sz w:val="18"/>
                <w:szCs w:val="18"/>
              </w:rPr>
              <w:t>Μορφή</w:t>
            </w:r>
            <w:r w:rsidR="003C7DFB">
              <w:rPr>
                <w:b/>
                <w:bCs/>
                <w:sz w:val="18"/>
                <w:szCs w:val="18"/>
              </w:rPr>
              <w:t xml:space="preserve"> του οφέλους</w:t>
            </w:r>
          </w:p>
        </w:tc>
        <w:tc>
          <w:tcPr>
            <w:tcW w:w="2440" w:type="dxa"/>
            <w:shd w:val="clear" w:color="auto" w:fill="D9D9D9"/>
            <w:tcMar>
              <w:top w:w="60" w:type="dxa"/>
              <w:left w:w="100" w:type="dxa"/>
              <w:bottom w:w="60" w:type="dxa"/>
              <w:right w:w="100" w:type="dxa"/>
            </w:tcMar>
            <w:vAlign w:val="center"/>
          </w:tcPr>
          <w:p w14:paraId="299EAA68" w14:textId="77777777" w:rsidR="00DE3C3C" w:rsidRDefault="003C7DFB" w:rsidP="0075435D">
            <w:pPr>
              <w:spacing w:after="0" w:line="240" w:lineRule="auto"/>
              <w:jc w:val="center"/>
              <w:rPr>
                <w:sz w:val="18"/>
                <w:szCs w:val="18"/>
              </w:rPr>
            </w:pPr>
            <w:r>
              <w:rPr>
                <w:b/>
                <w:bCs/>
                <w:sz w:val="18"/>
                <w:szCs w:val="18"/>
              </w:rPr>
              <w:t>Κύρια αβεβαιότητα</w:t>
            </w:r>
          </w:p>
        </w:tc>
      </w:tr>
      <w:tr w:rsidR="00DE3C3C" w14:paraId="4B27F4E3" w14:textId="77777777">
        <w:trPr>
          <w:cantSplit/>
          <w:jc w:val="center"/>
        </w:trPr>
        <w:tc>
          <w:tcPr>
            <w:tcW w:w="1500" w:type="dxa"/>
            <w:tcMar>
              <w:top w:w="60" w:type="dxa"/>
              <w:left w:w="100" w:type="dxa"/>
              <w:bottom w:w="60" w:type="dxa"/>
              <w:right w:w="100" w:type="dxa"/>
            </w:tcMar>
            <w:vAlign w:val="center"/>
          </w:tcPr>
          <w:p w14:paraId="53D4B4C3" w14:textId="77777777" w:rsidR="00DE3C3C" w:rsidRDefault="003C7DFB" w:rsidP="0075435D">
            <w:pPr>
              <w:spacing w:after="0" w:line="240" w:lineRule="auto"/>
              <w:jc w:val="center"/>
              <w:rPr>
                <w:sz w:val="18"/>
                <w:szCs w:val="18"/>
              </w:rPr>
            </w:pPr>
            <w:r>
              <w:rPr>
                <w:sz w:val="18"/>
                <w:szCs w:val="18"/>
              </w:rPr>
              <w:t>EU ETS</w:t>
            </w:r>
          </w:p>
        </w:tc>
        <w:tc>
          <w:tcPr>
            <w:tcW w:w="2200" w:type="dxa"/>
            <w:tcMar>
              <w:top w:w="60" w:type="dxa"/>
              <w:left w:w="100" w:type="dxa"/>
              <w:bottom w:w="60" w:type="dxa"/>
              <w:right w:w="100" w:type="dxa"/>
            </w:tcMar>
            <w:vAlign w:val="center"/>
          </w:tcPr>
          <w:p w14:paraId="222773AF" w14:textId="77777777" w:rsidR="00DE3C3C" w:rsidRDefault="003C7DFB" w:rsidP="0075435D">
            <w:pPr>
              <w:spacing w:after="0" w:line="240" w:lineRule="auto"/>
              <w:jc w:val="center"/>
              <w:rPr>
                <w:sz w:val="18"/>
                <w:szCs w:val="18"/>
              </w:rPr>
            </w:pPr>
            <w:r>
              <w:rPr>
                <w:sz w:val="18"/>
                <w:szCs w:val="18"/>
              </w:rPr>
              <w:t>Μικρότερη επαληθευμένη κατανάλωση καυσίμου και μικρότερες εκπομπές CO₂</w:t>
            </w:r>
          </w:p>
        </w:tc>
        <w:tc>
          <w:tcPr>
            <w:tcW w:w="2500" w:type="dxa"/>
            <w:tcMar>
              <w:top w:w="60" w:type="dxa"/>
              <w:left w:w="100" w:type="dxa"/>
              <w:bottom w:w="60" w:type="dxa"/>
              <w:right w:w="100" w:type="dxa"/>
            </w:tcMar>
            <w:vAlign w:val="center"/>
          </w:tcPr>
          <w:p w14:paraId="5E8DC80E" w14:textId="77777777" w:rsidR="00DE3C3C" w:rsidRDefault="003C7DFB" w:rsidP="0075435D">
            <w:pPr>
              <w:spacing w:after="0" w:line="240" w:lineRule="auto"/>
              <w:jc w:val="center"/>
              <w:rPr>
                <w:sz w:val="18"/>
                <w:szCs w:val="18"/>
              </w:rPr>
            </w:pPr>
            <w:r>
              <w:rPr>
                <w:sz w:val="18"/>
                <w:szCs w:val="18"/>
              </w:rPr>
              <w:t>Αποφυγή αγοράς δικαιωμάτων, ανάλογη του εξοικονομούμενου καυσίμου</w:t>
            </w:r>
          </w:p>
        </w:tc>
        <w:tc>
          <w:tcPr>
            <w:tcW w:w="2440" w:type="dxa"/>
            <w:tcMar>
              <w:top w:w="60" w:type="dxa"/>
              <w:left w:w="100" w:type="dxa"/>
              <w:bottom w:w="60" w:type="dxa"/>
              <w:right w:w="100" w:type="dxa"/>
            </w:tcMar>
            <w:vAlign w:val="center"/>
          </w:tcPr>
          <w:p w14:paraId="0040A5DE" w14:textId="77777777" w:rsidR="00DE3C3C" w:rsidRDefault="003C7DFB" w:rsidP="0075435D">
            <w:pPr>
              <w:spacing w:after="0" w:line="240" w:lineRule="auto"/>
              <w:jc w:val="center"/>
              <w:rPr>
                <w:sz w:val="18"/>
                <w:szCs w:val="18"/>
              </w:rPr>
            </w:pPr>
            <w:r>
              <w:rPr>
                <w:sz w:val="18"/>
                <w:szCs w:val="18"/>
              </w:rPr>
              <w:t>Τιμή δικαιωμάτων· κάλυψη των ταξιδιών εκτός ΕΕ (50%)· μελλοντικές αλλαγές του πεδίου εφαρμογής</w:t>
            </w:r>
          </w:p>
        </w:tc>
      </w:tr>
      <w:tr w:rsidR="00DE3C3C" w14:paraId="343856BE" w14:textId="77777777">
        <w:trPr>
          <w:cantSplit/>
          <w:jc w:val="center"/>
        </w:trPr>
        <w:tc>
          <w:tcPr>
            <w:tcW w:w="1500" w:type="dxa"/>
            <w:tcMar>
              <w:top w:w="60" w:type="dxa"/>
              <w:left w:w="100" w:type="dxa"/>
              <w:bottom w:w="60" w:type="dxa"/>
              <w:right w:w="100" w:type="dxa"/>
            </w:tcMar>
            <w:vAlign w:val="center"/>
          </w:tcPr>
          <w:p w14:paraId="56EA8DFE" w14:textId="77777777" w:rsidR="00DE3C3C" w:rsidRDefault="003C7DFB" w:rsidP="0075435D">
            <w:pPr>
              <w:spacing w:after="0" w:line="240" w:lineRule="auto"/>
              <w:jc w:val="center"/>
              <w:rPr>
                <w:sz w:val="18"/>
                <w:szCs w:val="18"/>
              </w:rPr>
            </w:pPr>
            <w:proofErr w:type="spellStart"/>
            <w:r>
              <w:rPr>
                <w:sz w:val="18"/>
                <w:szCs w:val="18"/>
              </w:rPr>
              <w:t>FuelEU</w:t>
            </w:r>
            <w:proofErr w:type="spellEnd"/>
            <w:r>
              <w:rPr>
                <w:sz w:val="18"/>
                <w:szCs w:val="18"/>
              </w:rPr>
              <w:t xml:space="preserve"> Maritime</w:t>
            </w:r>
          </w:p>
        </w:tc>
        <w:tc>
          <w:tcPr>
            <w:tcW w:w="2200" w:type="dxa"/>
            <w:tcMar>
              <w:top w:w="60" w:type="dxa"/>
              <w:left w:w="100" w:type="dxa"/>
              <w:bottom w:w="60" w:type="dxa"/>
              <w:right w:w="100" w:type="dxa"/>
            </w:tcMar>
            <w:vAlign w:val="center"/>
          </w:tcPr>
          <w:p w14:paraId="7F563637" w14:textId="49E3C1D0" w:rsidR="00DE3C3C" w:rsidRDefault="003C7DFB" w:rsidP="0075435D">
            <w:pPr>
              <w:spacing w:after="0" w:line="240" w:lineRule="auto"/>
              <w:jc w:val="center"/>
              <w:rPr>
                <w:sz w:val="18"/>
                <w:szCs w:val="18"/>
              </w:rPr>
            </w:pPr>
            <w:r>
              <w:rPr>
                <w:sz w:val="18"/>
                <w:szCs w:val="18"/>
              </w:rPr>
              <w:t>Εξοικονόμηση καυσίμου και συντελεστής επιβράβευσης αιολικής ενέργειας (0</w:t>
            </w:r>
            <w:r w:rsidR="00ED7CC8">
              <w:rPr>
                <w:sz w:val="18"/>
                <w:szCs w:val="18"/>
              </w:rPr>
              <w:t>,</w:t>
            </w:r>
            <w:r>
              <w:rPr>
                <w:sz w:val="18"/>
                <w:szCs w:val="18"/>
              </w:rPr>
              <w:t>99 έως 0</w:t>
            </w:r>
            <w:r w:rsidR="00ED7CC8">
              <w:rPr>
                <w:sz w:val="18"/>
                <w:szCs w:val="18"/>
              </w:rPr>
              <w:t>,</w:t>
            </w:r>
            <w:r>
              <w:rPr>
                <w:sz w:val="18"/>
                <w:szCs w:val="18"/>
              </w:rPr>
              <w:t>95)</w:t>
            </w:r>
          </w:p>
        </w:tc>
        <w:tc>
          <w:tcPr>
            <w:tcW w:w="2500" w:type="dxa"/>
            <w:tcMar>
              <w:top w:w="60" w:type="dxa"/>
              <w:left w:w="100" w:type="dxa"/>
              <w:bottom w:w="60" w:type="dxa"/>
              <w:right w:w="100" w:type="dxa"/>
            </w:tcMar>
            <w:vAlign w:val="center"/>
          </w:tcPr>
          <w:p w14:paraId="296AE03B" w14:textId="77777777" w:rsidR="00DE3C3C" w:rsidRDefault="003C7DFB" w:rsidP="0075435D">
            <w:pPr>
              <w:spacing w:after="0" w:line="240" w:lineRule="auto"/>
              <w:jc w:val="center"/>
              <w:rPr>
                <w:sz w:val="18"/>
                <w:szCs w:val="18"/>
              </w:rPr>
            </w:pPr>
            <w:r>
              <w:rPr>
                <w:sz w:val="18"/>
                <w:szCs w:val="18"/>
              </w:rPr>
              <w:t>Ευνοϊκότερο ισοζύγιο συμμόρφωσης· χαμηλότερη κύρωση ή έσοδα από συγκέντρωση (</w:t>
            </w:r>
            <w:proofErr w:type="spellStart"/>
            <w:r>
              <w:rPr>
                <w:sz w:val="18"/>
                <w:szCs w:val="18"/>
              </w:rPr>
              <w:t>pooling</w:t>
            </w:r>
            <w:proofErr w:type="spellEnd"/>
            <w:r>
              <w:rPr>
                <w:sz w:val="18"/>
                <w:szCs w:val="18"/>
              </w:rPr>
              <w:t>)</w:t>
            </w:r>
          </w:p>
        </w:tc>
        <w:tc>
          <w:tcPr>
            <w:tcW w:w="2440" w:type="dxa"/>
            <w:tcMar>
              <w:top w:w="60" w:type="dxa"/>
              <w:left w:w="100" w:type="dxa"/>
              <w:bottom w:w="60" w:type="dxa"/>
              <w:right w:w="100" w:type="dxa"/>
            </w:tcMar>
            <w:vAlign w:val="center"/>
          </w:tcPr>
          <w:p w14:paraId="042901D7" w14:textId="77777777" w:rsidR="00DE3C3C" w:rsidRDefault="003C7DFB" w:rsidP="0075435D">
            <w:pPr>
              <w:spacing w:after="0" w:line="240" w:lineRule="auto"/>
              <w:jc w:val="center"/>
              <w:rPr>
                <w:sz w:val="18"/>
                <w:szCs w:val="18"/>
              </w:rPr>
            </w:pPr>
            <w:r>
              <w:rPr>
                <w:sz w:val="18"/>
                <w:szCs w:val="18"/>
              </w:rPr>
              <w:t>Τιμή συγκέντρωσης (</w:t>
            </w:r>
            <w:proofErr w:type="spellStart"/>
            <w:r>
              <w:rPr>
                <w:sz w:val="18"/>
                <w:szCs w:val="18"/>
              </w:rPr>
              <w:t>pooling</w:t>
            </w:r>
            <w:proofErr w:type="spellEnd"/>
            <w:r>
              <w:rPr>
                <w:sz w:val="18"/>
                <w:szCs w:val="18"/>
              </w:rPr>
              <w:t>)· η επιβράβευση δεν επαρκεί για τα όρια μετά το 2035 περίπου· εμπορικό πρότυπο (50% της ενέργειας εκτός ΕΕ)</w:t>
            </w:r>
          </w:p>
        </w:tc>
      </w:tr>
      <w:tr w:rsidR="00DE3C3C" w14:paraId="0516CC0C" w14:textId="77777777">
        <w:trPr>
          <w:cantSplit/>
          <w:jc w:val="center"/>
        </w:trPr>
        <w:tc>
          <w:tcPr>
            <w:tcW w:w="1500" w:type="dxa"/>
            <w:tcMar>
              <w:top w:w="60" w:type="dxa"/>
              <w:left w:w="100" w:type="dxa"/>
              <w:bottom w:w="60" w:type="dxa"/>
              <w:right w:w="100" w:type="dxa"/>
            </w:tcMar>
            <w:vAlign w:val="center"/>
          </w:tcPr>
          <w:p w14:paraId="7064955B" w14:textId="77777777" w:rsidR="00DE3C3C" w:rsidRDefault="003C7DFB" w:rsidP="0075435D">
            <w:pPr>
              <w:spacing w:after="0" w:line="240" w:lineRule="auto"/>
              <w:jc w:val="center"/>
              <w:rPr>
                <w:sz w:val="18"/>
                <w:szCs w:val="18"/>
              </w:rPr>
            </w:pPr>
            <w:r>
              <w:rPr>
                <w:sz w:val="18"/>
                <w:szCs w:val="18"/>
              </w:rPr>
              <w:t>EEDI / EEXI</w:t>
            </w:r>
          </w:p>
        </w:tc>
        <w:tc>
          <w:tcPr>
            <w:tcW w:w="2200" w:type="dxa"/>
            <w:tcMar>
              <w:top w:w="60" w:type="dxa"/>
              <w:left w:w="100" w:type="dxa"/>
              <w:bottom w:w="60" w:type="dxa"/>
              <w:right w:w="100" w:type="dxa"/>
            </w:tcMar>
            <w:vAlign w:val="center"/>
          </w:tcPr>
          <w:p w14:paraId="5DC2B832" w14:textId="77777777" w:rsidR="00DE3C3C" w:rsidRDefault="003C7DFB" w:rsidP="0075435D">
            <w:pPr>
              <w:spacing w:after="0" w:line="240" w:lineRule="auto"/>
              <w:jc w:val="center"/>
              <w:rPr>
                <w:sz w:val="18"/>
                <w:szCs w:val="18"/>
              </w:rPr>
            </w:pPr>
            <w:r>
              <w:rPr>
                <w:sz w:val="18"/>
                <w:szCs w:val="18"/>
              </w:rPr>
              <w:t>Πίστωση ενεργού ισχύος για την αιολική ώση</w:t>
            </w:r>
          </w:p>
        </w:tc>
        <w:tc>
          <w:tcPr>
            <w:tcW w:w="2500" w:type="dxa"/>
            <w:tcMar>
              <w:top w:w="60" w:type="dxa"/>
              <w:left w:w="100" w:type="dxa"/>
              <w:bottom w:w="60" w:type="dxa"/>
              <w:right w:w="100" w:type="dxa"/>
            </w:tcMar>
            <w:vAlign w:val="center"/>
          </w:tcPr>
          <w:p w14:paraId="122144FC" w14:textId="77777777" w:rsidR="00DE3C3C" w:rsidRDefault="003C7DFB" w:rsidP="0075435D">
            <w:pPr>
              <w:spacing w:after="0" w:line="240" w:lineRule="auto"/>
              <w:jc w:val="center"/>
              <w:rPr>
                <w:sz w:val="18"/>
                <w:szCs w:val="18"/>
              </w:rPr>
            </w:pPr>
            <w:r>
              <w:rPr>
                <w:sz w:val="18"/>
                <w:szCs w:val="18"/>
              </w:rPr>
              <w:t>Συμμόρφωση χωρίς περιορισμό της ισχύος της μηχανής· σχεδιαστική ευελιξία</w:t>
            </w:r>
          </w:p>
        </w:tc>
        <w:tc>
          <w:tcPr>
            <w:tcW w:w="2440" w:type="dxa"/>
            <w:tcMar>
              <w:top w:w="60" w:type="dxa"/>
              <w:left w:w="100" w:type="dxa"/>
              <w:bottom w:w="60" w:type="dxa"/>
              <w:right w:w="100" w:type="dxa"/>
            </w:tcMar>
            <w:vAlign w:val="center"/>
          </w:tcPr>
          <w:p w14:paraId="216043D3" w14:textId="77777777" w:rsidR="00DE3C3C" w:rsidRDefault="003C7DFB" w:rsidP="0075435D">
            <w:pPr>
              <w:spacing w:after="0" w:line="240" w:lineRule="auto"/>
              <w:jc w:val="center"/>
              <w:rPr>
                <w:sz w:val="18"/>
                <w:szCs w:val="18"/>
              </w:rPr>
            </w:pPr>
            <w:r>
              <w:rPr>
                <w:sz w:val="18"/>
                <w:szCs w:val="18"/>
              </w:rPr>
              <w:t>Οι κατευθυντήριες γραμμές υπολογισμού και η μέθοδος πίστωσης ενδέχεται να εξελιχθούν</w:t>
            </w:r>
          </w:p>
        </w:tc>
      </w:tr>
      <w:tr w:rsidR="00DE3C3C" w14:paraId="571E8EF5" w14:textId="77777777">
        <w:trPr>
          <w:cantSplit/>
          <w:jc w:val="center"/>
        </w:trPr>
        <w:tc>
          <w:tcPr>
            <w:tcW w:w="1500" w:type="dxa"/>
            <w:tcMar>
              <w:top w:w="60" w:type="dxa"/>
              <w:left w:w="100" w:type="dxa"/>
              <w:bottom w:w="60" w:type="dxa"/>
              <w:right w:w="100" w:type="dxa"/>
            </w:tcMar>
            <w:vAlign w:val="center"/>
          </w:tcPr>
          <w:p w14:paraId="569EAC65" w14:textId="77777777" w:rsidR="00DE3C3C" w:rsidRDefault="003C7DFB" w:rsidP="0075435D">
            <w:pPr>
              <w:spacing w:after="0" w:line="240" w:lineRule="auto"/>
              <w:jc w:val="center"/>
              <w:rPr>
                <w:sz w:val="18"/>
                <w:szCs w:val="18"/>
              </w:rPr>
            </w:pPr>
            <w:r>
              <w:rPr>
                <w:sz w:val="18"/>
                <w:szCs w:val="18"/>
              </w:rPr>
              <w:t>CII</w:t>
            </w:r>
          </w:p>
        </w:tc>
        <w:tc>
          <w:tcPr>
            <w:tcW w:w="2200" w:type="dxa"/>
            <w:tcMar>
              <w:top w:w="60" w:type="dxa"/>
              <w:left w:w="100" w:type="dxa"/>
              <w:bottom w:w="60" w:type="dxa"/>
              <w:right w:w="100" w:type="dxa"/>
            </w:tcMar>
            <w:vAlign w:val="center"/>
          </w:tcPr>
          <w:p w14:paraId="204875D6" w14:textId="77777777" w:rsidR="00DE3C3C" w:rsidRDefault="003C7DFB" w:rsidP="0075435D">
            <w:pPr>
              <w:spacing w:after="0" w:line="240" w:lineRule="auto"/>
              <w:jc w:val="center"/>
              <w:rPr>
                <w:sz w:val="18"/>
                <w:szCs w:val="18"/>
              </w:rPr>
            </w:pPr>
            <w:r>
              <w:rPr>
                <w:sz w:val="18"/>
                <w:szCs w:val="18"/>
              </w:rPr>
              <w:t>Μικρότερη κατανάλωση καυσίμου ανά μονάδα μεταφορικού έργου</w:t>
            </w:r>
          </w:p>
        </w:tc>
        <w:tc>
          <w:tcPr>
            <w:tcW w:w="2500" w:type="dxa"/>
            <w:tcMar>
              <w:top w:w="60" w:type="dxa"/>
              <w:left w:w="100" w:type="dxa"/>
              <w:bottom w:w="60" w:type="dxa"/>
              <w:right w:w="100" w:type="dxa"/>
            </w:tcMar>
            <w:vAlign w:val="center"/>
          </w:tcPr>
          <w:p w14:paraId="16DD4FBD" w14:textId="77777777" w:rsidR="00DE3C3C" w:rsidRDefault="003C7DFB" w:rsidP="0075435D">
            <w:pPr>
              <w:spacing w:after="0" w:line="240" w:lineRule="auto"/>
              <w:jc w:val="center"/>
              <w:rPr>
                <w:sz w:val="18"/>
                <w:szCs w:val="18"/>
              </w:rPr>
            </w:pPr>
            <w:r>
              <w:rPr>
                <w:sz w:val="18"/>
                <w:szCs w:val="18"/>
              </w:rPr>
              <w:t>Καλύτερη βαθμολογία· εμπορικά και λιμενικά κίνητρα</w:t>
            </w:r>
          </w:p>
        </w:tc>
        <w:tc>
          <w:tcPr>
            <w:tcW w:w="2440" w:type="dxa"/>
            <w:tcMar>
              <w:top w:w="60" w:type="dxa"/>
              <w:left w:w="100" w:type="dxa"/>
              <w:bottom w:w="60" w:type="dxa"/>
              <w:right w:w="100" w:type="dxa"/>
            </w:tcMar>
            <w:vAlign w:val="center"/>
          </w:tcPr>
          <w:p w14:paraId="4348B397" w14:textId="77777777" w:rsidR="00DE3C3C" w:rsidRDefault="003C7DFB" w:rsidP="0075435D">
            <w:pPr>
              <w:spacing w:after="0" w:line="240" w:lineRule="auto"/>
              <w:jc w:val="center"/>
              <w:rPr>
                <w:sz w:val="18"/>
                <w:szCs w:val="18"/>
              </w:rPr>
            </w:pPr>
            <w:r>
              <w:rPr>
                <w:sz w:val="18"/>
                <w:szCs w:val="18"/>
              </w:rPr>
              <w:t>Απαιτούμενες τιμές για την περίοδο μετά το 2030· αναθεώρηση σε εξέλιξη</w:t>
            </w:r>
          </w:p>
        </w:tc>
      </w:tr>
      <w:tr w:rsidR="00DE3C3C" w14:paraId="5389013C" w14:textId="77777777">
        <w:trPr>
          <w:cantSplit/>
          <w:jc w:val="center"/>
        </w:trPr>
        <w:tc>
          <w:tcPr>
            <w:tcW w:w="1500" w:type="dxa"/>
            <w:tcMar>
              <w:top w:w="60" w:type="dxa"/>
              <w:left w:w="100" w:type="dxa"/>
              <w:bottom w:w="60" w:type="dxa"/>
              <w:right w:w="100" w:type="dxa"/>
            </w:tcMar>
            <w:vAlign w:val="center"/>
          </w:tcPr>
          <w:p w14:paraId="4A5F2472" w14:textId="77777777" w:rsidR="00DE3C3C" w:rsidRDefault="003C7DFB" w:rsidP="0075435D">
            <w:pPr>
              <w:spacing w:after="0" w:line="240" w:lineRule="auto"/>
              <w:jc w:val="center"/>
              <w:rPr>
                <w:sz w:val="18"/>
                <w:szCs w:val="18"/>
              </w:rPr>
            </w:pPr>
            <w:r>
              <w:rPr>
                <w:sz w:val="18"/>
                <w:szCs w:val="18"/>
              </w:rPr>
              <w:t>Πλαίσιο Μηδενικών Καθαρών Εκπομπών του IMO</w:t>
            </w:r>
          </w:p>
        </w:tc>
        <w:tc>
          <w:tcPr>
            <w:tcW w:w="2200" w:type="dxa"/>
            <w:tcMar>
              <w:top w:w="60" w:type="dxa"/>
              <w:left w:w="100" w:type="dxa"/>
              <w:bottom w:w="60" w:type="dxa"/>
              <w:right w:w="100" w:type="dxa"/>
            </w:tcMar>
            <w:vAlign w:val="center"/>
          </w:tcPr>
          <w:p w14:paraId="3F060248" w14:textId="77777777" w:rsidR="00DE3C3C" w:rsidRDefault="003C7DFB" w:rsidP="0075435D">
            <w:pPr>
              <w:spacing w:after="0" w:line="240" w:lineRule="auto"/>
              <w:jc w:val="center"/>
              <w:rPr>
                <w:sz w:val="18"/>
                <w:szCs w:val="18"/>
              </w:rPr>
            </w:pPr>
            <w:r>
              <w:rPr>
                <w:sz w:val="18"/>
                <w:szCs w:val="18"/>
              </w:rPr>
              <w:t>Αναγνώριση στον δείκτη GFI</w:t>
            </w:r>
          </w:p>
        </w:tc>
        <w:tc>
          <w:tcPr>
            <w:tcW w:w="2500" w:type="dxa"/>
            <w:tcMar>
              <w:top w:w="60" w:type="dxa"/>
              <w:left w:w="100" w:type="dxa"/>
              <w:bottom w:w="60" w:type="dxa"/>
              <w:right w:w="100" w:type="dxa"/>
            </w:tcMar>
            <w:vAlign w:val="center"/>
          </w:tcPr>
          <w:p w14:paraId="649247F7" w14:textId="77777777" w:rsidR="00DE3C3C" w:rsidRDefault="003C7DFB" w:rsidP="0075435D">
            <w:pPr>
              <w:spacing w:after="0" w:line="240" w:lineRule="auto"/>
              <w:jc w:val="center"/>
              <w:rPr>
                <w:sz w:val="18"/>
                <w:szCs w:val="18"/>
              </w:rPr>
            </w:pPr>
            <w:r>
              <w:rPr>
                <w:sz w:val="18"/>
                <w:szCs w:val="18"/>
              </w:rPr>
              <w:t>Δυνητικό παγκόσμιο σήμα τιμής άνθρακα</w:t>
            </w:r>
          </w:p>
        </w:tc>
        <w:tc>
          <w:tcPr>
            <w:tcW w:w="2440" w:type="dxa"/>
            <w:tcMar>
              <w:top w:w="60" w:type="dxa"/>
              <w:left w:w="100" w:type="dxa"/>
              <w:bottom w:w="60" w:type="dxa"/>
              <w:right w:w="100" w:type="dxa"/>
            </w:tcMar>
            <w:vAlign w:val="center"/>
          </w:tcPr>
          <w:p w14:paraId="5ADFB754" w14:textId="31C55B79" w:rsidR="00DE3C3C" w:rsidRDefault="003C7DFB" w:rsidP="0075435D">
            <w:pPr>
              <w:spacing w:after="0" w:line="240" w:lineRule="auto"/>
              <w:jc w:val="center"/>
              <w:rPr>
                <w:sz w:val="18"/>
                <w:szCs w:val="18"/>
              </w:rPr>
            </w:pPr>
            <w:r>
              <w:rPr>
                <w:sz w:val="18"/>
                <w:szCs w:val="18"/>
              </w:rPr>
              <w:t xml:space="preserve">Η υιοθέτηση, το χρονοδιάγραμμα και ο σχεδιασμός παραμένουν </w:t>
            </w:r>
            <w:r w:rsidR="0098083B">
              <w:rPr>
                <w:sz w:val="18"/>
                <w:szCs w:val="18"/>
              </w:rPr>
              <w:t>ρευστ</w:t>
            </w:r>
            <w:r>
              <w:rPr>
                <w:sz w:val="18"/>
                <w:szCs w:val="18"/>
              </w:rPr>
              <w:t>ά</w:t>
            </w:r>
          </w:p>
        </w:tc>
      </w:tr>
    </w:tbl>
    <w:p w14:paraId="4A012DF8" w14:textId="354B0315" w:rsidR="00DE3C3C" w:rsidRDefault="003C7DFB">
      <w:pPr>
        <w:spacing w:before="60" w:after="200" w:line="240" w:lineRule="auto"/>
        <w:jc w:val="both"/>
      </w:pPr>
      <w:r>
        <w:rPr>
          <w:i/>
          <w:iCs/>
          <w:sz w:val="18"/>
          <w:szCs w:val="18"/>
        </w:rPr>
        <w:t>Σύνταξη του συγγραφέα με βάση τις Ενότητες 4.4 έως 4.10 και τις [</w:t>
      </w:r>
      <w:r>
        <w:rPr>
          <w:i/>
          <w:iCs/>
          <w:sz w:val="18"/>
          <w:szCs w:val="18"/>
        </w:rPr>
        <w:fldChar w:fldCharType="begin"/>
      </w:r>
      <w:r>
        <w:rPr>
          <w:i/>
          <w:iCs/>
          <w:sz w:val="18"/>
          <w:szCs w:val="18"/>
        </w:rPr>
        <w:instrText xml:space="preserve"> REF _Ref_cit_13 \h \* MERGEFORMAT </w:instrText>
      </w:r>
      <w:r>
        <w:rPr>
          <w:i/>
          <w:iCs/>
          <w:sz w:val="18"/>
          <w:szCs w:val="18"/>
        </w:rPr>
      </w:r>
      <w:r>
        <w:rPr>
          <w:i/>
          <w:iCs/>
          <w:sz w:val="18"/>
          <w:szCs w:val="18"/>
        </w:rPr>
        <w:fldChar w:fldCharType="separate"/>
      </w:r>
      <w:r w:rsidR="00B0043E" w:rsidRPr="00B0043E">
        <w:rPr>
          <w:i/>
          <w:iCs/>
          <w:sz w:val="18"/>
          <w:szCs w:val="18"/>
        </w:rPr>
        <w:t>13</w:t>
      </w:r>
      <w:r>
        <w:rPr>
          <w:i/>
          <w:iCs/>
          <w:sz w:val="18"/>
          <w:szCs w:val="18"/>
        </w:rPr>
        <w:fldChar w:fldCharType="end"/>
      </w:r>
      <w:r>
        <w:rPr>
          <w:i/>
          <w:iCs/>
          <w:sz w:val="18"/>
          <w:szCs w:val="18"/>
        </w:rPr>
        <w:t>], [</w:t>
      </w:r>
      <w:r>
        <w:rPr>
          <w:i/>
          <w:iCs/>
          <w:sz w:val="18"/>
          <w:szCs w:val="18"/>
        </w:rPr>
        <w:fldChar w:fldCharType="begin"/>
      </w:r>
      <w:r>
        <w:rPr>
          <w:i/>
          <w:iCs/>
          <w:sz w:val="18"/>
          <w:szCs w:val="18"/>
        </w:rPr>
        <w:instrText xml:space="preserve"> REF _Ref_cit_45 \h \* MERGEFORMAT </w:instrText>
      </w:r>
      <w:r>
        <w:rPr>
          <w:i/>
          <w:iCs/>
          <w:sz w:val="18"/>
          <w:szCs w:val="18"/>
        </w:rPr>
      </w:r>
      <w:r>
        <w:rPr>
          <w:i/>
          <w:iCs/>
          <w:sz w:val="18"/>
          <w:szCs w:val="18"/>
        </w:rPr>
        <w:fldChar w:fldCharType="separate"/>
      </w:r>
      <w:r w:rsidR="00B0043E" w:rsidRPr="00B0043E">
        <w:rPr>
          <w:i/>
          <w:iCs/>
          <w:sz w:val="18"/>
          <w:szCs w:val="18"/>
        </w:rPr>
        <w:t>45</w:t>
      </w:r>
      <w:r>
        <w:rPr>
          <w:i/>
          <w:iCs/>
          <w:sz w:val="18"/>
          <w:szCs w:val="18"/>
        </w:rPr>
        <w:fldChar w:fldCharType="end"/>
      </w:r>
      <w:r>
        <w:rPr>
          <w:i/>
          <w:iCs/>
          <w:sz w:val="18"/>
          <w:szCs w:val="18"/>
        </w:rPr>
        <w:t>], [</w:t>
      </w:r>
      <w:r>
        <w:rPr>
          <w:i/>
          <w:iCs/>
          <w:sz w:val="18"/>
          <w:szCs w:val="18"/>
        </w:rPr>
        <w:fldChar w:fldCharType="begin"/>
      </w:r>
      <w:r>
        <w:rPr>
          <w:i/>
          <w:iCs/>
          <w:sz w:val="18"/>
          <w:szCs w:val="18"/>
        </w:rPr>
        <w:instrText xml:space="preserve"> REF _Ref_cit_50 \h \* MERGEFORMAT </w:instrText>
      </w:r>
      <w:r>
        <w:rPr>
          <w:i/>
          <w:iCs/>
          <w:sz w:val="18"/>
          <w:szCs w:val="18"/>
        </w:rPr>
      </w:r>
      <w:r>
        <w:rPr>
          <w:i/>
          <w:iCs/>
          <w:sz w:val="18"/>
          <w:szCs w:val="18"/>
        </w:rPr>
        <w:fldChar w:fldCharType="separate"/>
      </w:r>
      <w:r w:rsidR="00B0043E" w:rsidRPr="00B0043E">
        <w:rPr>
          <w:i/>
          <w:iCs/>
          <w:sz w:val="18"/>
          <w:szCs w:val="18"/>
        </w:rPr>
        <w:t>50</w:t>
      </w:r>
      <w:r>
        <w:rPr>
          <w:i/>
          <w:iCs/>
          <w:sz w:val="18"/>
          <w:szCs w:val="18"/>
        </w:rPr>
        <w:fldChar w:fldCharType="end"/>
      </w:r>
      <w:r>
        <w:rPr>
          <w:i/>
          <w:iCs/>
          <w:sz w:val="18"/>
          <w:szCs w:val="18"/>
        </w:rPr>
        <w:t>], [</w:t>
      </w:r>
      <w:r>
        <w:rPr>
          <w:i/>
          <w:iCs/>
          <w:sz w:val="18"/>
          <w:szCs w:val="18"/>
        </w:rPr>
        <w:fldChar w:fldCharType="begin"/>
      </w:r>
      <w:r>
        <w:rPr>
          <w:i/>
          <w:iCs/>
          <w:sz w:val="18"/>
          <w:szCs w:val="18"/>
        </w:rPr>
        <w:instrText xml:space="preserve"> REF _Ref_cit_54 \h \* MERGEFORMAT </w:instrText>
      </w:r>
      <w:r>
        <w:rPr>
          <w:i/>
          <w:iCs/>
          <w:sz w:val="18"/>
          <w:szCs w:val="18"/>
        </w:rPr>
      </w:r>
      <w:r>
        <w:rPr>
          <w:i/>
          <w:iCs/>
          <w:sz w:val="18"/>
          <w:szCs w:val="18"/>
        </w:rPr>
        <w:fldChar w:fldCharType="separate"/>
      </w:r>
      <w:r w:rsidR="00B0043E" w:rsidRPr="00B0043E">
        <w:rPr>
          <w:i/>
          <w:iCs/>
          <w:sz w:val="18"/>
          <w:szCs w:val="18"/>
        </w:rPr>
        <w:t>54</w:t>
      </w:r>
      <w:r>
        <w:rPr>
          <w:i/>
          <w:iCs/>
          <w:sz w:val="18"/>
          <w:szCs w:val="18"/>
        </w:rPr>
        <w:fldChar w:fldCharType="end"/>
      </w:r>
      <w:r>
        <w:rPr>
          <w:i/>
          <w:iCs/>
          <w:sz w:val="18"/>
          <w:szCs w:val="18"/>
        </w:rPr>
        <w:t>], [</w:t>
      </w:r>
      <w:r>
        <w:rPr>
          <w:i/>
          <w:iCs/>
          <w:sz w:val="18"/>
          <w:szCs w:val="18"/>
        </w:rPr>
        <w:fldChar w:fldCharType="begin"/>
      </w:r>
      <w:r>
        <w:rPr>
          <w:i/>
          <w:iCs/>
          <w:sz w:val="18"/>
          <w:szCs w:val="18"/>
        </w:rPr>
        <w:instrText xml:space="preserve"> REF _Ref_cit_58 \h \* MERGEFORMAT </w:instrText>
      </w:r>
      <w:r>
        <w:rPr>
          <w:i/>
          <w:iCs/>
          <w:sz w:val="18"/>
          <w:szCs w:val="18"/>
        </w:rPr>
      </w:r>
      <w:r>
        <w:rPr>
          <w:i/>
          <w:iCs/>
          <w:sz w:val="18"/>
          <w:szCs w:val="18"/>
        </w:rPr>
        <w:fldChar w:fldCharType="separate"/>
      </w:r>
      <w:r w:rsidR="00B0043E" w:rsidRPr="00B0043E">
        <w:rPr>
          <w:i/>
          <w:iCs/>
          <w:sz w:val="18"/>
          <w:szCs w:val="18"/>
        </w:rPr>
        <w:t>58</w:t>
      </w:r>
      <w:r>
        <w:rPr>
          <w:i/>
          <w:iCs/>
          <w:sz w:val="18"/>
          <w:szCs w:val="18"/>
        </w:rPr>
        <w:fldChar w:fldCharType="end"/>
      </w:r>
      <w:r>
        <w:rPr>
          <w:i/>
          <w:iCs/>
          <w:sz w:val="18"/>
          <w:szCs w:val="18"/>
        </w:rPr>
        <w:t>]</w:t>
      </w:r>
    </w:p>
    <w:p w14:paraId="2A4D4E66" w14:textId="492E59B0" w:rsidR="00DE3C3C" w:rsidRDefault="003C7DFB">
      <w:pPr>
        <w:spacing w:line="360" w:lineRule="auto"/>
        <w:ind w:firstLine="576"/>
        <w:jc w:val="both"/>
      </w:pPr>
      <w:r>
        <w:t xml:space="preserve">Ένα δεύτερο εύρημα αφορά τη σχέση μεταξύ τεχνολογίας και ρύθμισης. Ο υπολογισμός του </w:t>
      </w:r>
      <w:proofErr w:type="spellStart"/>
      <w:r>
        <w:t>FuelEU</w:t>
      </w:r>
      <w:proofErr w:type="spellEnd"/>
      <w:r>
        <w:t xml:space="preserve"> της Ενότητας 4.10.2 και τα στοιχεία της Ενότητας 3.5 δείχνουν προς την ίδια κατεύθυνση: ο συντελεστής επιβράβευσης αιολικής ενέργειας και η πίστωση του EEDI επιβραβεύουν το μερίδιο του ανέμου στην ισχύ πρόωσης, ενώ το ETS επιβραβεύει την απόλυτη ποσότητα του εξοικονομούμενου καυσίμου. Οι τεχνολογίες που επιτυγχάνουν υψηλό αιολικό </w:t>
      </w:r>
      <w:r w:rsidR="00A73EFF">
        <w:t>ποσοστό</w:t>
      </w:r>
      <w:r>
        <w:t xml:space="preserve"> με μέτριο κόστος σε κατάλληλα πλοία, όπως τα ιστία-</w:t>
      </w:r>
      <w:proofErr w:type="spellStart"/>
      <w:r>
        <w:t>ρότορες</w:t>
      </w:r>
      <w:proofErr w:type="spellEnd"/>
      <w:r>
        <w:t xml:space="preserve"> και τα άκαμπτα ιστία σε φορτηγά πλοία χύδην ξηρού φορτίου και δεξαμενόπλοια, είναι επομένως αυτές που βρίσκονται στην καλύτερη θέση για να αξιοποιήσουν και τους τρεις μηχανισμούς. Ένα τρίτο εύρημα είναι ότι η αξία του σήματος άνθρακα εξαρτάται από το εμπορικό πρότυπο. Ένα πλοίο που δραστηριοποιείται εντός ΕΕ αξιοποιεί πλήρως το σήμα του ETS και του </w:t>
      </w:r>
      <w:proofErr w:type="spellStart"/>
      <w:r>
        <w:t>FuelEU</w:t>
      </w:r>
      <w:proofErr w:type="spellEnd"/>
      <w:r>
        <w:t>, ενώ ένα πλοίο που δραστηριοποιείται κυρίως εκτός Ευρώπης το αξιοποιεί κατά το ήμισυ και μόνο στα ευρωπαϊκά σκέλη των ταξιδιών του, και καθόλου αλλού, οπότε η σκοπιμότητα των WAPS σε τέτοια πλοία εξαρτάται αποκλειστικά από την εξοικονόμηση καυσίμου έως ότου υιοθετηθεί ένας παγκόσμιος μηχανισμός.</w:t>
      </w:r>
    </w:p>
    <w:p w14:paraId="72C56795" w14:textId="089F2DE6" w:rsidR="00DE3C3C" w:rsidRDefault="003C7DFB">
      <w:pPr>
        <w:spacing w:line="360" w:lineRule="auto"/>
        <w:ind w:firstLine="576"/>
        <w:jc w:val="both"/>
      </w:pPr>
      <w:r>
        <w:t xml:space="preserve">Τα στοιχεία δείχνουν επίσης γιατί τα αποτελέσματα της βιβλιογραφίας δεν μπορούν να μεταφερθούν άμεσα από τη μία μελέτη στην άλλη. Η εξοικονόμηση </w:t>
      </w:r>
      <w:r>
        <w:lastRenderedPageBreak/>
        <w:t>καυσίμου κυμαίνεται από 5</w:t>
      </w:r>
      <w:r w:rsidR="00082FCA">
        <w:t>,</w:t>
      </w:r>
      <w:r>
        <w:t xml:space="preserve">5% για ιστία που προστίθενται σε μη τροποποιημένη γάστρα έως 12–20% όταν η γάστρα, η μηχανή και η </w:t>
      </w:r>
      <w:r w:rsidR="00082FCA">
        <w:t>προπέλα</w:t>
      </w:r>
      <w:r>
        <w:t xml:space="preserve"> βελτιστοποιούνται από κοινού [</w:t>
      </w:r>
      <w:r>
        <w:fldChar w:fldCharType="begin"/>
      </w:r>
      <w:r>
        <w:instrText xml:space="preserve"> REF _Ref_cit_45 \h \* MERGEFORMAT </w:instrText>
      </w:r>
      <w:r>
        <w:fldChar w:fldCharType="separate"/>
      </w:r>
      <w:r w:rsidR="00B0043E" w:rsidRPr="00B0043E">
        <w:t>45</w:t>
      </w:r>
      <w:r>
        <w:fldChar w:fldCharType="end"/>
      </w:r>
      <w:r>
        <w:t>], και από 4 έως 15% για ιστία-</w:t>
      </w:r>
      <w:proofErr w:type="spellStart"/>
      <w:r>
        <w:t>ρότορες</w:t>
      </w:r>
      <w:proofErr w:type="spellEnd"/>
      <w:r>
        <w:t xml:space="preserve"> σε μετασκευές [</w:t>
      </w:r>
      <w:r>
        <w:fldChar w:fldCharType="begin"/>
      </w:r>
      <w:r>
        <w:instrText xml:space="preserve"> REF _Ref_cit_40 \h \* MERGEFORMAT </w:instrText>
      </w:r>
      <w:r>
        <w:fldChar w:fldCharType="separate"/>
      </w:r>
      <w:r w:rsidR="00B0043E" w:rsidRPr="00B0043E">
        <w:t>40</w:t>
      </w:r>
      <w:r>
        <w:fldChar w:fldCharType="end"/>
      </w:r>
      <w:r>
        <w:t>]· το επιπλέον κεφαλαιουχικό κόστος ενός φορτηγού πλοίου χύδην ξηρού φορτίου με άκαμπτα ιστία μειώνεται από 18–19% σε περίπου 7% όταν ο σχεδιασμός βελτιστοποιείται γύρω από τα ιστία [</w:t>
      </w:r>
      <w:r>
        <w:fldChar w:fldCharType="begin"/>
      </w:r>
      <w:r>
        <w:instrText xml:space="preserve"> REF _Ref_cit_45 \h \* MERGEFORMAT </w:instrText>
      </w:r>
      <w:r>
        <w:fldChar w:fldCharType="separate"/>
      </w:r>
      <w:r w:rsidR="00B0043E" w:rsidRPr="00B0043E">
        <w:t>45</w:t>
      </w:r>
      <w:r>
        <w:fldChar w:fldCharType="end"/>
      </w:r>
      <w:r>
        <w:t xml:space="preserve">]· και η καθαρή παρούσα αξία εξαρτάται έντονα από το προεξοφλητικό επιτόκιο, τον ορίζοντα και το κανονιστικό κόστος που υποτίθενται. Όταν προστεθεί το κανονιστικό κόστος του Κεφαλαίου 4, η οικονομική κατάταξη των σχεδιασμών μπορεί να μεταβληθεί. Στην περίπτωση που εξετάστηκε στην Ενότητα 3.5, για παράδειγμα, ο σχεδιασμός με την καλύτερη αυτοτελή NPV δεν ήταν εφικτός, επειδή δεν ικανοποιούσε τη </w:t>
      </w:r>
      <w:r w:rsidR="002E3C0A">
        <w:t>3</w:t>
      </w:r>
      <w:r w:rsidR="00DA2335" w:rsidRPr="00DA2335">
        <w:rPr>
          <w:vertAlign w:val="superscript"/>
        </w:rPr>
        <w:t>η</w:t>
      </w:r>
      <w:r w:rsidR="00DA2335">
        <w:t xml:space="preserve"> </w:t>
      </w:r>
      <w:r w:rsidR="002E3C0A">
        <w:t xml:space="preserve"> Φάση</w:t>
      </w:r>
      <w:r>
        <w:t xml:space="preserve"> του EEDI [</w:t>
      </w:r>
      <w:r>
        <w:fldChar w:fldCharType="begin"/>
      </w:r>
      <w:r>
        <w:instrText xml:space="preserve"> REF _Ref_cit_45 \h \* MERGEFORMAT </w:instrText>
      </w:r>
      <w:r>
        <w:fldChar w:fldCharType="separate"/>
      </w:r>
      <w:r w:rsidR="00B0043E" w:rsidRPr="00B0043E">
        <w:t>45</w:t>
      </w:r>
      <w:r>
        <w:fldChar w:fldCharType="end"/>
      </w:r>
      <w:r>
        <w:t>], γεγονός που δείχνει ότι η ρύθμιση μπορεί να καθορίσει την επιλογή ανεξάρτητα από το σήμα τιμής.</w:t>
      </w:r>
    </w:p>
    <w:p w14:paraId="1A23B8BD" w14:textId="416DC3EA" w:rsidR="00DE3C3C" w:rsidRDefault="003C7DFB">
      <w:pPr>
        <w:spacing w:line="360" w:lineRule="auto"/>
        <w:ind w:firstLine="576"/>
        <w:jc w:val="both"/>
      </w:pPr>
      <w:r>
        <w:t xml:space="preserve">Τέλος, η αλληλεπίδραση μεταξύ των WAPS και των άλλων μέτρων </w:t>
      </w:r>
      <w:r w:rsidR="00C341F3">
        <w:t xml:space="preserve">για την </w:t>
      </w:r>
      <w:r>
        <w:t>απόδοση χρήζει προσοχής. Η μείωση της ταχύτητας, ο καθαρισμός της γάστρας και η δρομολόγηση με βάση τον καιρό μειώνουν την κατανάλωση καυσίμου μέσω των δικών τους μηχανισμών, οπότε τα οφέλη τους δεν προστίθενται απλώς στην εξοικονόμηση ενός WAPS. Η πλεύση με μειωμένη ταχύτητα (</w:t>
      </w:r>
      <w:proofErr w:type="spellStart"/>
      <w:r>
        <w:t>slow</w:t>
      </w:r>
      <w:proofErr w:type="spellEnd"/>
      <w:r>
        <w:t xml:space="preserve"> </w:t>
      </w:r>
      <w:proofErr w:type="spellStart"/>
      <w:r>
        <w:t>steaming</w:t>
      </w:r>
      <w:proofErr w:type="spellEnd"/>
      <w:r>
        <w:t xml:space="preserve">), την οποία ενθαρρύνουν τα οικονομικά του ETS και του </w:t>
      </w:r>
      <w:proofErr w:type="spellStart"/>
      <w:r>
        <w:t>FuelEU</w:t>
      </w:r>
      <w:proofErr w:type="spellEnd"/>
      <w:r>
        <w:t xml:space="preserve">, αυξάνει το σχετικό </w:t>
      </w:r>
      <w:r w:rsidR="00072974">
        <w:t>ποσοστό</w:t>
      </w:r>
      <w:r>
        <w:t xml:space="preserve"> της αιολικής ώσης στην ισχύ πρόωσης, και επομένως τον συντελεστή επιβράβευσης αιολικής ενέργειας, αλλά μειώνει την απόλυτη ποσότητα καυσίμου που μπορεί να εξοικονομηθεί. Η δρομολόγηση με βάση τον καιρό, αντίθετα, είναι συμπληρωματική, διότι η εξοικονόμηση καυσίμου ενός WAPS εξαρτάται από τον άνεμο που συναντά το πλοίο κατά μήκος της διαδρομής [</w:t>
      </w:r>
      <w:r>
        <w:fldChar w:fldCharType="begin"/>
      </w:r>
      <w:r>
        <w:instrText xml:space="preserve"> REF _Ref_cit_7 \h \* MERGEFORMAT </w:instrText>
      </w:r>
      <w:r>
        <w:fldChar w:fldCharType="separate"/>
      </w:r>
      <w:r w:rsidR="00B0043E" w:rsidRPr="00B0043E">
        <w:t>7</w:t>
      </w:r>
      <w:r>
        <w:fldChar w:fldCharType="end"/>
      </w:r>
      <w:r>
        <w:t>], [</w:t>
      </w:r>
      <w:r>
        <w:fldChar w:fldCharType="begin"/>
      </w:r>
      <w:r>
        <w:instrText xml:space="preserve"> REF _Ref_cit_36 \h \* MERGEFORMAT </w:instrText>
      </w:r>
      <w:r>
        <w:fldChar w:fldCharType="separate"/>
      </w:r>
      <w:r w:rsidR="00B0043E" w:rsidRPr="00B0043E">
        <w:t>36</w:t>
      </w:r>
      <w:r>
        <w:fldChar w:fldCharType="end"/>
      </w:r>
      <w:r>
        <w:t>]. Μια αυστηρή αξιολόγηση πρέπει επομένως να εξετάζει τα WAPS σε συνδυασμό με την επιχειρησιακή στρατηγική και όχι μεμονωμένα.</w:t>
      </w:r>
    </w:p>
    <w:p w14:paraId="6772FD01" w14:textId="77777777" w:rsidR="00DE3C3C" w:rsidRDefault="003C7DFB">
      <w:pPr>
        <w:pStyle w:val="20"/>
      </w:pPr>
      <w:bookmarkStart w:id="191" w:name="_Toc243355353"/>
      <w:r>
        <w:t>Σύγκριση των στοιχείων που εξετάστηκαν</w:t>
      </w:r>
      <w:bookmarkEnd w:id="191"/>
    </w:p>
    <w:p w14:paraId="4161011B" w14:textId="77777777" w:rsidR="00DE3C3C" w:rsidRDefault="003C7DFB">
      <w:pPr>
        <w:spacing w:line="360" w:lineRule="auto"/>
        <w:ind w:firstLine="576"/>
        <w:jc w:val="both"/>
      </w:pPr>
      <w:r>
        <w:t xml:space="preserve">Οι μελέτες που εξετάστηκαν στην παρούσα εργασία διαφέρουν ως προς τη μέθοδο, το πλοίο και τη διαδρομή που εξετάζουν και τις παραδοχές για το κόστος και τη ρύθμιση, οπότε μια σύγκριση είναι χρήσιμη για να εντοπιστεί σε τι συμφωνούν και πού διαφωνούν. Η σύγκριση της ενότητας αυτής είναι ποιοτική και βασίζεται στις μελέτες βάσει διαδρομών της Ενότητας 4.7.4, στην μετρημένη εξοικονόμηση του </w:t>
      </w:r>
      <w:r w:rsidRPr="00542074">
        <w:rPr>
          <w:b/>
          <w:bCs/>
        </w:rPr>
        <w:t>Πίνακα 8</w:t>
      </w:r>
      <w:r>
        <w:t xml:space="preserve"> και στον υπολογισμό της περιόδου αποπληρωμής της Ενότητας 4.10.3.</w:t>
      </w:r>
    </w:p>
    <w:p w14:paraId="4174384F" w14:textId="77777777" w:rsidR="00DE3C3C" w:rsidRDefault="003C7DFB">
      <w:pPr>
        <w:pStyle w:val="30"/>
      </w:pPr>
      <w:bookmarkStart w:id="192" w:name="_Toc243355354"/>
      <w:r>
        <w:lastRenderedPageBreak/>
        <w:t>Εξοικονόμηση από προσομοιώσεις και από μετρήσεις</w:t>
      </w:r>
      <w:bookmarkEnd w:id="192"/>
    </w:p>
    <w:p w14:paraId="22A0FDD3" w14:textId="4B0F0AA2" w:rsidR="00DE3C3C" w:rsidRDefault="003C7DFB">
      <w:pPr>
        <w:spacing w:line="360" w:lineRule="auto"/>
        <w:ind w:firstLine="576"/>
        <w:jc w:val="both"/>
      </w:pPr>
      <w:r>
        <w:t xml:space="preserve">Το πρώτο σημείο σύγκλισης είναι ότι η εξοικονόμηση καυσίμου μιας τυπικής εγκατάστασης WAPS σε ένα μεγάλο εμπορικό πλοίο είναι της τάξης μερικών ποσοστιαίων μονάδων και όχι δεκάδων ποσοστιαίων μονάδων. Οι προσομοιώσεις βάσει διαδρομών για έναν μεμονωμένο </w:t>
      </w:r>
      <w:proofErr w:type="spellStart"/>
      <w:r>
        <w:t>ρότορα</w:t>
      </w:r>
      <w:proofErr w:type="spellEnd"/>
      <w:r>
        <w:t xml:space="preserve"> σε μεγάλο δεξαμενόπλοιο ή φορτηγό πλοίο χύδην ξηρού φορτίου δίνουν 2</w:t>
      </w:r>
      <w:r w:rsidR="00542074">
        <w:t>,</w:t>
      </w:r>
      <w:r>
        <w:t>5 έως 9% [</w:t>
      </w:r>
      <w:r>
        <w:fldChar w:fldCharType="begin"/>
      </w:r>
      <w:r>
        <w:instrText xml:space="preserve"> REF _Ref_cit_8 \h \* MERGEFORMAT </w:instrText>
      </w:r>
      <w:r>
        <w:fldChar w:fldCharType="separate"/>
      </w:r>
      <w:r w:rsidR="00B0043E" w:rsidRPr="00B0043E">
        <w:t>8</w:t>
      </w:r>
      <w:r>
        <w:fldChar w:fldCharType="end"/>
      </w:r>
      <w:r>
        <w:t>], [</w:t>
      </w:r>
      <w:r>
        <w:fldChar w:fldCharType="begin"/>
      </w:r>
      <w:r>
        <w:instrText xml:space="preserve"> REF _Ref_cit_63 \h \* MERGEFORMAT </w:instrText>
      </w:r>
      <w:r>
        <w:fldChar w:fldCharType="separate"/>
      </w:r>
      <w:r w:rsidR="00B0043E" w:rsidRPr="00B0043E">
        <w:t>63</w:t>
      </w:r>
      <w:r>
        <w:fldChar w:fldCharType="end"/>
      </w:r>
      <w:r>
        <w:t xml:space="preserve">], οι μετρημένες τιμές των περισσότερων πλοίων του </w:t>
      </w:r>
      <w:r w:rsidRPr="00542074">
        <w:rPr>
          <w:b/>
          <w:bCs/>
        </w:rPr>
        <w:t>Πίνακα 8</w:t>
      </w:r>
      <w:r>
        <w:t xml:space="preserve"> βρίσκονται μεταξύ 4 και 15%, και η ανάλυση 25 πλοίων με ιστία-</w:t>
      </w:r>
      <w:proofErr w:type="spellStart"/>
      <w:r>
        <w:t>ρότορες</w:t>
      </w:r>
      <w:proofErr w:type="spellEnd"/>
      <w:r>
        <w:t xml:space="preserve"> δίνει 4 έως 15% [</w:t>
      </w:r>
      <w:r>
        <w:fldChar w:fldCharType="begin"/>
      </w:r>
      <w:r>
        <w:instrText xml:space="preserve"> REF _Ref_cit_40 \h \* MERGEFORMAT </w:instrText>
      </w:r>
      <w:r>
        <w:fldChar w:fldCharType="separate"/>
      </w:r>
      <w:r w:rsidR="00B0043E" w:rsidRPr="00B0043E">
        <w:t>40</w:t>
      </w:r>
      <w:r>
        <w:fldChar w:fldCharType="end"/>
      </w:r>
      <w:r>
        <w:t>]. Τιμές 20% ή μεγαλύτερες συνδέονται με πλοία που έχουν σχεδιαστεί γύρω από τα ιστία [</w:t>
      </w:r>
      <w:r>
        <w:fldChar w:fldCharType="begin"/>
      </w:r>
      <w:r>
        <w:instrText xml:space="preserve"> REF _Ref_cit_45 \h \* MERGEFORMAT </w:instrText>
      </w:r>
      <w:r>
        <w:fldChar w:fldCharType="separate"/>
      </w:r>
      <w:r w:rsidR="00B0043E" w:rsidRPr="00B0043E">
        <w:t>45</w:t>
      </w:r>
      <w:r>
        <w:fldChar w:fldCharType="end"/>
      </w:r>
      <w:r>
        <w:t xml:space="preserve">], με πολλές μεγάλες μονάδες σε μικρό πλοίο ή με ιδιαίτερα ευνοϊκές γωνίες ανέμου. Το εύρημα των </w:t>
      </w:r>
      <w:proofErr w:type="spellStart"/>
      <w:r>
        <w:t>Lu</w:t>
      </w:r>
      <w:proofErr w:type="spellEnd"/>
      <w:r>
        <w:t xml:space="preserve"> και </w:t>
      </w:r>
      <w:proofErr w:type="spellStart"/>
      <w:r>
        <w:t>Ringsberg</w:t>
      </w:r>
      <w:proofErr w:type="spellEnd"/>
      <w:r>
        <w:t xml:space="preserve"> ότι ένας κόμβος ταχύτητας μπορεί να έχει μεγαλύτερη επίδραση από έναν </w:t>
      </w:r>
      <w:proofErr w:type="spellStart"/>
      <w:r>
        <w:t>ρότορα</w:t>
      </w:r>
      <w:proofErr w:type="spellEnd"/>
      <w:r>
        <w:t xml:space="preserve"> [</w:t>
      </w:r>
      <w:r>
        <w:fldChar w:fldCharType="begin"/>
      </w:r>
      <w:r>
        <w:instrText xml:space="preserve"> REF _Ref_cit_8 \h \* MERGEFORMAT </w:instrText>
      </w:r>
      <w:r>
        <w:fldChar w:fldCharType="separate"/>
      </w:r>
      <w:r w:rsidR="00B0043E" w:rsidRPr="00B0043E">
        <w:t>8</w:t>
      </w:r>
      <w:r>
        <w:fldChar w:fldCharType="end"/>
      </w:r>
      <w:r>
        <w:t xml:space="preserve">] και το εύρημα των </w:t>
      </w:r>
      <w:proofErr w:type="spellStart"/>
      <w:r>
        <w:t>Zhang</w:t>
      </w:r>
      <w:proofErr w:type="spellEnd"/>
      <w:r>
        <w:t xml:space="preserve"> </w:t>
      </w:r>
      <w:proofErr w:type="spellStart"/>
      <w:r>
        <w:t>et</w:t>
      </w:r>
      <w:proofErr w:type="spellEnd"/>
      <w:r>
        <w:t xml:space="preserve"> </w:t>
      </w:r>
      <w:proofErr w:type="spellStart"/>
      <w:r>
        <w:t>al</w:t>
      </w:r>
      <w:proofErr w:type="spellEnd"/>
      <w:r>
        <w:t>. ότι η δρομολόγηση έχει συγκρίσιμη επίδραση [</w:t>
      </w:r>
      <w:r>
        <w:fldChar w:fldCharType="begin"/>
      </w:r>
      <w:r>
        <w:instrText xml:space="preserve"> REF _Ref_cit_28 \h \* MERGEFORMAT </w:instrText>
      </w:r>
      <w:r>
        <w:fldChar w:fldCharType="separate"/>
      </w:r>
      <w:r w:rsidR="00B0043E" w:rsidRPr="00B0043E">
        <w:t>28</w:t>
      </w:r>
      <w:r>
        <w:fldChar w:fldCharType="end"/>
      </w:r>
      <w:r>
        <w:t>] δείχνουν ότι ο τρόπος λειτουργίας του πλοίου έχει την ίδια σημασία με τον εξοπλισμό.</w:t>
      </w:r>
    </w:p>
    <w:p w14:paraId="15365A4D" w14:textId="2DB4C098" w:rsidR="00DE3C3C" w:rsidRDefault="003C7DFB">
      <w:pPr>
        <w:spacing w:line="360" w:lineRule="auto"/>
        <w:ind w:firstLine="576"/>
        <w:jc w:val="both"/>
      </w:pPr>
      <w:r>
        <w:t xml:space="preserve">Το δεύτερο σημείο είναι η απόκλιση μεταξύ προσομοιώσεων και μετρήσεων στη θάλασσα. Οι </w:t>
      </w:r>
      <w:proofErr w:type="spellStart"/>
      <w:r>
        <w:t>Zhang</w:t>
      </w:r>
      <w:proofErr w:type="spellEnd"/>
      <w:r>
        <w:t xml:space="preserve"> </w:t>
      </w:r>
      <w:proofErr w:type="spellStart"/>
      <w:r>
        <w:t>et</w:t>
      </w:r>
      <w:proofErr w:type="spellEnd"/>
      <w:r>
        <w:t xml:space="preserve"> </w:t>
      </w:r>
      <w:proofErr w:type="spellStart"/>
      <w:r>
        <w:t>al</w:t>
      </w:r>
      <w:proofErr w:type="spellEnd"/>
      <w:r>
        <w:t xml:space="preserve">. την αποδίδουν στο θαλάσσιο οριακό στρώμα, στην </w:t>
      </w:r>
      <w:proofErr w:type="spellStart"/>
      <w:r>
        <w:t>υπερκατασκευή</w:t>
      </w:r>
      <w:proofErr w:type="spellEnd"/>
      <w:r>
        <w:t xml:space="preserve"> </w:t>
      </w:r>
      <w:r w:rsidR="00B84B52">
        <w:t xml:space="preserve">στο κατάστρωμα </w:t>
      </w:r>
      <w:r>
        <w:t>του πλοίου και στις κινήσεις του πλοίου [</w:t>
      </w:r>
      <w:r>
        <w:fldChar w:fldCharType="begin"/>
      </w:r>
      <w:r>
        <w:instrText xml:space="preserve"> REF _Ref_cit_28 \h \* MERGEFORMAT </w:instrText>
      </w:r>
      <w:r>
        <w:fldChar w:fldCharType="separate"/>
      </w:r>
      <w:r w:rsidR="00B0043E" w:rsidRPr="00B0043E">
        <w:t>28</w:t>
      </w:r>
      <w:r>
        <w:fldChar w:fldCharType="end"/>
      </w:r>
      <w:r>
        <w:t xml:space="preserve">], ενώ η </w:t>
      </w:r>
      <w:proofErr w:type="spellStart"/>
      <w:r>
        <w:t>Zoi</w:t>
      </w:r>
      <w:proofErr w:type="spellEnd"/>
      <w:r>
        <w:t xml:space="preserve"> δείχνει για ένα συγκεκριμένο πλοίο ότι ο συνυπολογισμός των επιδράσεων της πλευρικής δύναμης μειώνει την πίστωση κατά περίπου 40% σε σχέση με την απλουστευμένη μέθοδο [</w:t>
      </w:r>
      <w:r>
        <w:fldChar w:fldCharType="begin"/>
      </w:r>
      <w:r>
        <w:instrText xml:space="preserve"> REF _Ref_cit_38 \h \* MERGEFORMAT </w:instrText>
      </w:r>
      <w:r>
        <w:fldChar w:fldCharType="separate"/>
      </w:r>
      <w:r w:rsidR="00B0043E" w:rsidRPr="00B0043E">
        <w:t>38</w:t>
      </w:r>
      <w:r>
        <w:fldChar w:fldCharType="end"/>
      </w:r>
      <w:r>
        <w:t>]. Τα αποτελέσματα προσομοιώσεων που παραλείπουν αυτές τις επιδράσεις πρέπει επομένως να θεωρούνται ανώτατο όριο, γι’ αυτό και το εύρος ευαισθησίας της Ενότητας 4.10.3 ξεκινά από τιμές τόσο χαμηλές όσο 3%, ενώ οι μελέτες που αναφέρουν μία μόνο υψηλή τιμή εξοικονόμησης πρέπει να αντιμετωπίζονται με επιφύλαξη.</w:t>
      </w:r>
    </w:p>
    <w:p w14:paraId="5B870DFD" w14:textId="27CC17CD" w:rsidR="006C4C83" w:rsidRDefault="001A2FEB">
      <w:pPr>
        <w:spacing w:line="360" w:lineRule="auto"/>
        <w:ind w:firstLine="576"/>
        <w:jc w:val="both"/>
      </w:pPr>
      <w:r w:rsidRPr="00B2152B">
        <w:t xml:space="preserve">Οι πρόσθετες μελέτες των Ενοτήτων 3.3 και 4.8.2 συμφωνούν με την ανάγνωση αυτή. Οι προσομοιώσεις με πολλούς </w:t>
      </w:r>
      <w:proofErr w:type="spellStart"/>
      <w:r w:rsidRPr="00B2152B">
        <w:t>ρότορες</w:t>
      </w:r>
      <w:proofErr w:type="spellEnd"/>
      <w:r w:rsidRPr="00B2152B">
        <w:t xml:space="preserve"> σε δεξαμενόπλοιο [</w:t>
      </w:r>
      <w:r w:rsidRPr="00B2152B">
        <w:fldChar w:fldCharType="begin"/>
      </w:r>
      <w:r w:rsidRPr="00B2152B">
        <w:instrText xml:space="preserve"> REF _Ref_cit_66 \h \* MERGEFORMAT </w:instrText>
      </w:r>
      <w:r w:rsidRPr="00B2152B">
        <w:fldChar w:fldCharType="separate"/>
      </w:r>
      <w:r w:rsidR="00B0043E" w:rsidRPr="00B0043E">
        <w:t>66</w:t>
      </w:r>
      <w:r w:rsidRPr="00B2152B">
        <w:fldChar w:fldCharType="end"/>
      </w:r>
      <w:r w:rsidRPr="00B2152B">
        <w:t xml:space="preserve">] δίνουν τιμές της τάξης του 30%, υψηλότερες από τις περισσότερες μετρημένες τιμές, ενώ για ένα μικρό πλοίο με έναν μόνο </w:t>
      </w:r>
      <w:proofErr w:type="spellStart"/>
      <w:r w:rsidRPr="00B2152B">
        <w:t>ρότορα</w:t>
      </w:r>
      <w:proofErr w:type="spellEnd"/>
      <w:r w:rsidRPr="00B2152B">
        <w:t xml:space="preserve"> προκύπτουν περίπου 3% [</w:t>
      </w:r>
      <w:r w:rsidRPr="00B2152B">
        <w:fldChar w:fldCharType="begin"/>
      </w:r>
      <w:r w:rsidRPr="00B2152B">
        <w:instrText xml:space="preserve"> REF _Ref_cit_67 \h \* MERGEFORMAT </w:instrText>
      </w:r>
      <w:r w:rsidRPr="00B2152B">
        <w:fldChar w:fldCharType="separate"/>
      </w:r>
      <w:r w:rsidR="00B0043E" w:rsidRPr="00B0043E">
        <w:t>67</w:t>
      </w:r>
      <w:r w:rsidRPr="00B2152B">
        <w:fldChar w:fldCharType="end"/>
      </w:r>
      <w:r w:rsidRPr="00B2152B">
        <w:t>]. Η διαφορά αυτή δείχνει ότι ο αριθμός των μονάδων, το μέγεθος του πλοίου και η διαδρομή επηρεάζουν το αποτέλεσμα τουλάχιστον όσο και η ίδια η τεχνολογία, και ότι η σύγκριση μεταξύ μελετών έχει νόημα μόνο όταν αναφέρονται οι αντίστοιχες παραδοχές.</w:t>
      </w:r>
    </w:p>
    <w:p w14:paraId="6132FCDC" w14:textId="77777777" w:rsidR="00DE3C3C" w:rsidRDefault="003C7DFB">
      <w:pPr>
        <w:pStyle w:val="30"/>
      </w:pPr>
      <w:bookmarkStart w:id="193" w:name="_Toc243355355"/>
      <w:r>
        <w:lastRenderedPageBreak/>
        <w:t>Σημεία σύγκλισης και απόκλισης ως προς την οικονομική βιωσιμότητα</w:t>
      </w:r>
      <w:bookmarkEnd w:id="193"/>
    </w:p>
    <w:p w14:paraId="7C1B694C" w14:textId="2B017A74" w:rsidR="00DE3C3C" w:rsidRDefault="003C7DFB">
      <w:pPr>
        <w:spacing w:line="360" w:lineRule="auto"/>
        <w:ind w:firstLine="576"/>
        <w:jc w:val="both"/>
      </w:pPr>
      <w:r>
        <w:t xml:space="preserve">Από οικονομική άποψη, οι μελέτες συμφωνούν ότι η περίοδος αποπληρωμής είναι εξαιρετικά μεταβλητή. Η περίοδος αποπληρωμής 3 έως 6 ετών που βρήκαν οι </w:t>
      </w:r>
      <w:proofErr w:type="spellStart"/>
      <w:r>
        <w:t>Carjova</w:t>
      </w:r>
      <w:proofErr w:type="spellEnd"/>
      <w:r>
        <w:t xml:space="preserve"> </w:t>
      </w:r>
      <w:proofErr w:type="spellStart"/>
      <w:r>
        <w:t>et</w:t>
      </w:r>
      <w:proofErr w:type="spellEnd"/>
      <w:r>
        <w:t xml:space="preserve"> </w:t>
      </w:r>
      <w:proofErr w:type="spellStart"/>
      <w:r>
        <w:t>al</w:t>
      </w:r>
      <w:proofErr w:type="spellEnd"/>
      <w:r>
        <w:t xml:space="preserve">. όταν συνυπολογίζεται το κόστος άνθρακα έρχεται σε αντίθεση με τα 6 έως 11 έτη που βρήκε η </w:t>
      </w:r>
      <w:proofErr w:type="spellStart"/>
      <w:r>
        <w:t>Stathopoulou</w:t>
      </w:r>
      <w:proofErr w:type="spellEnd"/>
      <w:r>
        <w:t xml:space="preserve"> για ένα συγκεκριμένο φορτηγό πλοίο χύδην ξηρού φορτίου και με την πολύ μακρά περίοδο αποπληρωμής του υπολογισμού της Ενότητας 4.10.3 για μικρή εξοικονόμηση [</w:t>
      </w:r>
      <w:r>
        <w:fldChar w:fldCharType="begin"/>
      </w:r>
      <w:r>
        <w:instrText xml:space="preserve"> REF _Ref_cit_40 \h \* MERGEFORMAT </w:instrText>
      </w:r>
      <w:r>
        <w:fldChar w:fldCharType="separate"/>
      </w:r>
      <w:r w:rsidR="00B0043E" w:rsidRPr="00B0043E">
        <w:t>40</w:t>
      </w:r>
      <w:r>
        <w:fldChar w:fldCharType="end"/>
      </w:r>
      <w:r>
        <w:t>], [</w:t>
      </w:r>
      <w:r>
        <w:fldChar w:fldCharType="begin"/>
      </w:r>
      <w:r>
        <w:instrText xml:space="preserve"> REF _Ref_cit_63 \h \* MERGEFORMAT </w:instrText>
      </w:r>
      <w:r>
        <w:fldChar w:fldCharType="separate"/>
      </w:r>
      <w:r w:rsidR="00B0043E" w:rsidRPr="00B0043E">
        <w:t>63</w:t>
      </w:r>
      <w:r>
        <w:fldChar w:fldCharType="end"/>
      </w:r>
      <w:r>
        <w:t>]. Οι διαφορές δεν είναι αντιφατικές, αλλά αντανακλούν διαφορετική εξοικονόμηση, κόστος επένδυσης, κατανάλωση καυσίμου και τιμές καυσίμου και άνθρακα, ενώ ο υπολογισμός της Ενότητας 4.10.3 δείχνει ότι μία μόνο μεταβολή, για παράδειγμα από εξοικονόμηση 5% σε εξοικονόμηση 12%, μεταβάλλει την περίοδο αποπληρωμής κατά τρεις φορές ή περισσότερο. Επομένως, κάθε δήλωση για την οικονομική βιωσιμότητα των WAPS πρέπει να διατυπώνεται υπό όρους, και η μέση βιωσιμότητα της τεχνολογίας είναι πολύ λιγότερο κατατοπιστική από τον χαρακτηρισμό του τμήματος πλοίων και διαδρομών για το οποίο η τεχνολογία είναι βιώσιμη.</w:t>
      </w:r>
    </w:p>
    <w:p w14:paraId="42A37F98" w14:textId="77777777" w:rsidR="00DE3C3C" w:rsidRDefault="003C7DFB">
      <w:pPr>
        <w:pStyle w:val="20"/>
      </w:pPr>
      <w:bookmarkStart w:id="194" w:name="_Toc243355356"/>
      <w:r>
        <w:t xml:space="preserve">WAPS, εναλλακτικά καύσιμα και η πορεία </w:t>
      </w:r>
      <w:proofErr w:type="spellStart"/>
      <w:r>
        <w:t>απανθρακοποίησης</w:t>
      </w:r>
      <w:bookmarkEnd w:id="194"/>
      <w:proofErr w:type="spellEnd"/>
    </w:p>
    <w:p w14:paraId="1562D525" w14:textId="045599AF" w:rsidR="00DE3C3C" w:rsidRPr="00E526C1" w:rsidRDefault="003C7DFB" w:rsidP="00E526C1">
      <w:pPr>
        <w:spacing w:line="360" w:lineRule="auto"/>
        <w:ind w:firstLine="576"/>
        <w:jc w:val="both"/>
      </w:pPr>
      <w:r>
        <w:t xml:space="preserve">Η βιβλιογραφία που εξετάστηκε στην Ενότητα 4.9 οδηγεί σε ένα συμπέρασμα που δεν είναι προφανές εκ πρώτης όψεως. Τα εναλλακτικά καύσιμα είναι απαραίτητα για την επίτευξη των σημείων ελέγχου του IMO και των ορίων του </w:t>
      </w:r>
      <w:proofErr w:type="spellStart"/>
      <w:r>
        <w:t>FuelEU</w:t>
      </w:r>
      <w:proofErr w:type="spellEnd"/>
      <w:r>
        <w:t xml:space="preserve"> για το 2035 και μετά, είναι όμως σημαντικά ακριβότερα: στα εύρη τιμών των </w:t>
      </w:r>
      <w:proofErr w:type="spellStart"/>
      <w:r>
        <w:t>Peng</w:t>
      </w:r>
      <w:proofErr w:type="spellEnd"/>
      <w:r>
        <w:t xml:space="preserve"> </w:t>
      </w:r>
      <w:proofErr w:type="spellStart"/>
      <w:r>
        <w:t>et</w:t>
      </w:r>
      <w:proofErr w:type="spellEnd"/>
      <w:r>
        <w:t xml:space="preserve"> </w:t>
      </w:r>
      <w:proofErr w:type="spellStart"/>
      <w:r>
        <w:t>al</w:t>
      </w:r>
      <w:proofErr w:type="spellEnd"/>
      <w:r>
        <w:t>., η e-</w:t>
      </w:r>
      <w:proofErr w:type="spellStart"/>
      <w:r>
        <w:t>μεθανόλη</w:t>
      </w:r>
      <w:proofErr w:type="spellEnd"/>
      <w:r>
        <w:t xml:space="preserve"> και η e-αμμωνία κοστίζουν ανά τόνο περίπου διπλάσια από το ναυτιλιακό πετρέλαιο, ενώ το e-LNG και το e-υδρογόνο τετραπλάσια ή περισσότερο, αν και οι τιμές ανά τόνο δεν είναι άμεσα συγκρίσιμες μεταξύ διαφορετικών καυσίμων [</w:t>
      </w:r>
      <w:r>
        <w:fldChar w:fldCharType="begin"/>
      </w:r>
      <w:r>
        <w:instrText xml:space="preserve"> REF _Ref_cit_64 \h \* MERGEFORMAT </w:instrText>
      </w:r>
      <w:r>
        <w:fldChar w:fldCharType="separate"/>
      </w:r>
      <w:r w:rsidR="00B0043E" w:rsidRPr="00B0043E">
        <w:t>64</w:t>
      </w:r>
      <w:r>
        <w:fldChar w:fldCharType="end"/>
      </w:r>
      <w:r>
        <w:t>]. Κάθε τόνος εξοικονομούμενου καυσίμου έχει τότε μεγαλύτερη αξία, και η αιολική υποβοήθηση αποτελεί μέρος της προτιμώμενης διάταξης όταν το καύσιμο είναι το e-υδρογόνο και της διάταξης ελάχιστου κόστους όταν το καύσιμο είναι συμβατικό [</w:t>
      </w:r>
      <w:r>
        <w:fldChar w:fldCharType="begin"/>
      </w:r>
      <w:r>
        <w:instrText xml:space="preserve"> REF _Ref_cit_64 \h \* MERGEFORMAT </w:instrText>
      </w:r>
      <w:r>
        <w:fldChar w:fldCharType="separate"/>
      </w:r>
      <w:r w:rsidR="00B0043E" w:rsidRPr="00B0043E">
        <w:t>64</w:t>
      </w:r>
      <w:r>
        <w:fldChar w:fldCharType="end"/>
      </w:r>
      <w:r>
        <w:t xml:space="preserve">]. Τα WAPS μειώνουν την κλίμακα του προβλήματος εφοδιασμού καυσίμων ανάλογα με την εξοικονόμηση, όμως μια εξοικονόμηση 5 έως 15% δεν μπορεί να υποκαταστήσει την αλλαγή καυσίμου, και οι επιδράσεις είναι σωρευτικές και όχι εναλλακτικές. </w:t>
      </w:r>
      <w:r w:rsidR="00602D8F" w:rsidRPr="00E526C1">
        <w:t>Η εξοικονόμηση ενέργειας κατά τη λειτουργία του πλοίου δεν συνεπάγεται εκπομπές από τα προηγούμενα στάδια της αλυσίδας εφοδιασμού του καυσίμου</w:t>
      </w:r>
      <w:r>
        <w:t xml:space="preserve">, γεγονός που έχει αξία </w:t>
      </w:r>
      <w:r>
        <w:lastRenderedPageBreak/>
        <w:t xml:space="preserve">όταν η λογιστική </w:t>
      </w:r>
      <w:proofErr w:type="spellStart"/>
      <w:r>
        <w:t>well-to-wake</w:t>
      </w:r>
      <w:proofErr w:type="spellEnd"/>
      <w:r>
        <w:t xml:space="preserve"> αναδεικνύει την εξάρτηση των </w:t>
      </w:r>
      <w:r w:rsidR="00E526C1">
        <w:rPr>
          <w:lang w:val="en-US"/>
        </w:rPr>
        <w:t>e</w:t>
      </w:r>
      <w:r w:rsidR="00E526C1" w:rsidRPr="00E526C1">
        <w:t>-</w:t>
      </w:r>
      <w:r w:rsidR="00E526C1">
        <w:rPr>
          <w:lang w:val="en-US"/>
        </w:rPr>
        <w:t>fuels</w:t>
      </w:r>
      <w:r>
        <w:t xml:space="preserve"> από την καθαρή ηλεκτρική ενέργεια [</w:t>
      </w:r>
      <w:r>
        <w:fldChar w:fldCharType="begin"/>
      </w:r>
      <w:r>
        <w:instrText xml:space="preserve"> REF _Ref_cit_22 \h \* MERGEFORMAT </w:instrText>
      </w:r>
      <w:r>
        <w:fldChar w:fldCharType="separate"/>
      </w:r>
      <w:r w:rsidR="00B0043E" w:rsidRPr="00B0043E">
        <w:t>22</w:t>
      </w:r>
      <w:r>
        <w:fldChar w:fldCharType="end"/>
      </w:r>
      <w:r>
        <w:t>], [</w:t>
      </w:r>
      <w:r>
        <w:fldChar w:fldCharType="begin"/>
      </w:r>
      <w:r>
        <w:instrText xml:space="preserve"> REF _Ref_cit_23 \h \* MERGEFORMAT </w:instrText>
      </w:r>
      <w:r>
        <w:fldChar w:fldCharType="separate"/>
      </w:r>
      <w:r w:rsidR="00B0043E" w:rsidRPr="00B0043E">
        <w:t>23</w:t>
      </w:r>
      <w:r>
        <w:fldChar w:fldCharType="end"/>
      </w:r>
      <w:r>
        <w:t>].</w:t>
      </w:r>
    </w:p>
    <w:p w14:paraId="0B97A7A3" w14:textId="77777777" w:rsidR="00DE3C3C" w:rsidRDefault="003C7DFB">
      <w:pPr>
        <w:pStyle w:val="20"/>
      </w:pPr>
      <w:bookmarkStart w:id="195" w:name="_Toc243355357"/>
      <w:r>
        <w:t>Υιοθέτηση και σχεδιασμός πολιτικής</w:t>
      </w:r>
      <w:bookmarkEnd w:id="195"/>
    </w:p>
    <w:p w14:paraId="5406DEB9" w14:textId="171D65B8" w:rsidR="00DE3C3C" w:rsidRDefault="003C7DFB">
      <w:pPr>
        <w:spacing w:line="360" w:lineRule="auto"/>
        <w:ind w:firstLine="576"/>
        <w:jc w:val="both"/>
      </w:pPr>
      <w:r>
        <w:t xml:space="preserve">Οι συνεντεύξεις των </w:t>
      </w:r>
      <w:proofErr w:type="spellStart"/>
      <w:r>
        <w:t>Djoumessi</w:t>
      </w:r>
      <w:proofErr w:type="spellEnd"/>
      <w:r>
        <w:t xml:space="preserve"> </w:t>
      </w:r>
      <w:proofErr w:type="spellStart"/>
      <w:r>
        <w:t>et</w:t>
      </w:r>
      <w:proofErr w:type="spellEnd"/>
      <w:r>
        <w:t xml:space="preserve"> </w:t>
      </w:r>
      <w:proofErr w:type="spellStart"/>
      <w:r>
        <w:t>al</w:t>
      </w:r>
      <w:proofErr w:type="spellEnd"/>
      <w:r>
        <w:t>. και η ανάλυση του Κεφαλαίου 4 αναδεικνύουν ένα παράδοξο. Η Ευρώπη έχει για πρώτη φορά αποδώσει στην αιολική πρόωση ρητή επιβράβευση και τιμή άνθρακα, και ο αριθμός των πλοίων υπό παραγγελία έχει αυξηθεί απότομα, όμως η εγκατεστημένη βάση παραμένει κάτω από το 0</w:t>
      </w:r>
      <w:r w:rsidR="00640131">
        <w:t>,</w:t>
      </w:r>
      <w:r>
        <w:t>03% του στόλου [</w:t>
      </w:r>
      <w:r>
        <w:fldChar w:fldCharType="begin"/>
      </w:r>
      <w:r>
        <w:instrText xml:space="preserve"> REF _Ref_cit_7 \h \* MERGEFORMAT </w:instrText>
      </w:r>
      <w:r>
        <w:fldChar w:fldCharType="separate"/>
      </w:r>
      <w:r w:rsidR="00B0043E" w:rsidRPr="00B0043E">
        <w:t>7</w:t>
      </w:r>
      <w:r>
        <w:fldChar w:fldCharType="end"/>
      </w:r>
      <w:r>
        <w:t>] και οι πρώιμες προβλέψεις δεν έχουν επαληθευτεί [</w:t>
      </w:r>
      <w:r>
        <w:fldChar w:fldCharType="begin"/>
      </w:r>
      <w:r>
        <w:instrText xml:space="preserve"> REF _Ref_cit_42 \h \* MERGEFORMAT </w:instrText>
      </w:r>
      <w:r>
        <w:fldChar w:fldCharType="separate"/>
      </w:r>
      <w:r w:rsidR="00B0043E" w:rsidRPr="00B0043E">
        <w:t>42</w:t>
      </w:r>
      <w:r>
        <w:fldChar w:fldCharType="end"/>
      </w:r>
      <w:r>
        <w:t xml:space="preserve">]. Τα στοιχεία υποδηλώνουν ότι η κανονιστική αξία είναι πραγματική, αλλά δεν περιέρχεται στο μέρος που φέρει το κόστος: οι υποχρεώσεις του ETS και του </w:t>
      </w:r>
      <w:proofErr w:type="spellStart"/>
      <w:r>
        <w:t>FuelEU</w:t>
      </w:r>
      <w:proofErr w:type="spellEnd"/>
      <w:r>
        <w:t xml:space="preserve"> βαρύνουν τη ναυτιλιακή εταιρεία, η οποία μπορεί να μην είναι ούτε ο πλοιοκτήτης ούτε </w:t>
      </w:r>
      <w:r w:rsidR="00A902F3">
        <w:t>η μεριά</w:t>
      </w:r>
      <w:r>
        <w:t xml:space="preserve"> που πληρώνει το καύσιμο, ενώ οι εμπορικές συνέπειες του CII γίνονται αισθητές μέσω των όρων ναύλωσης. Εάν ο πλοιοκτήτης πληρώνει για το WAPS και ο ναυλωτής για το καύσιμο και τον άνθρακα, ο πλοιοκτήτης δεν έχει άμεσο κίνητρο, εκτός εάν ο ναύλος αντανακλά την αποδοτικότητα του πλοίου, ενώ το εύρημα ότι η συνεργασία πλοιοκτήτη–ναυλωτή αποτελεί κινητήριο παράγοντα [</w:t>
      </w:r>
      <w:r>
        <w:fldChar w:fldCharType="begin"/>
      </w:r>
      <w:r>
        <w:instrText xml:space="preserve"> REF _Ref_cit_34 \h \* MERGEFORMAT </w:instrText>
      </w:r>
      <w:r>
        <w:fldChar w:fldCharType="separate"/>
      </w:r>
      <w:r w:rsidR="00B0043E" w:rsidRPr="00B0043E">
        <w:t>34</w:t>
      </w:r>
      <w:r>
        <w:fldChar w:fldCharType="end"/>
      </w:r>
      <w:r>
        <w:t>] δείχνει ότι αρχίζουν να αναπτύσσονται συμβατικές λύσεις.</w:t>
      </w:r>
    </w:p>
    <w:p w14:paraId="269B3620" w14:textId="3368E4C4" w:rsidR="00DE3C3C" w:rsidRDefault="003C7DFB">
      <w:pPr>
        <w:spacing w:line="360" w:lineRule="auto"/>
        <w:ind w:firstLine="576"/>
        <w:jc w:val="both"/>
      </w:pPr>
      <w:r>
        <w:t>Τα εργαλεία πολιτικής θα πρέπει να το λαμβάνουν αυτό υπόψη. Ο συντελεστής επιβράβευσης αιολικής ενέργειας και ο μηχανισμός συγκέντρωσης (</w:t>
      </w:r>
      <w:proofErr w:type="spellStart"/>
      <w:r>
        <w:t>pooling</w:t>
      </w:r>
      <w:proofErr w:type="spellEnd"/>
      <w:r>
        <w:t xml:space="preserve">) δημιουργούν εμπορεύσιμη αξία, όμως η επιβράβευση έχει ανώτατο όριο 5% και η βαρύτητά της μειώνεται καθώς τα όρια </w:t>
      </w:r>
      <w:proofErr w:type="spellStart"/>
      <w:r>
        <w:t>αυστηροποιούνται</w:t>
      </w:r>
      <w:proofErr w:type="spellEnd"/>
      <w:r>
        <w:t xml:space="preserve"> [</w:t>
      </w:r>
      <w:r>
        <w:fldChar w:fldCharType="begin"/>
      </w:r>
      <w:r>
        <w:instrText xml:space="preserve"> REF _Ref_cit_50 \h \* MERGEFORMAT </w:instrText>
      </w:r>
      <w:r>
        <w:fldChar w:fldCharType="separate"/>
      </w:r>
      <w:r w:rsidR="00B0043E" w:rsidRPr="00B0043E">
        <w:t>50</w:t>
      </w:r>
      <w:r>
        <w:fldChar w:fldCharType="end"/>
      </w:r>
      <w:r>
        <w:t>], [</w:t>
      </w:r>
      <w:r>
        <w:fldChar w:fldCharType="begin"/>
      </w:r>
      <w:r>
        <w:instrText xml:space="preserve"> REF _Ref_cit_58 \h \* MERGEFORMAT </w:instrText>
      </w:r>
      <w:r>
        <w:fldChar w:fldCharType="separate"/>
      </w:r>
      <w:r w:rsidR="00B0043E" w:rsidRPr="00B0043E">
        <w:t>58</w:t>
      </w:r>
      <w:r>
        <w:fldChar w:fldCharType="end"/>
      </w:r>
      <w:r>
        <w:t>]· η πίστωση στον EEXI εξαρτάται από μια συντηρητική μέθοδο (</w:t>
      </w:r>
      <w:r w:rsidRPr="00B06BE7">
        <w:rPr>
          <w:b/>
          <w:bCs/>
        </w:rPr>
        <w:t>Πίνακας 7</w:t>
      </w:r>
      <w:r>
        <w:t>)· και η επαλήθευση της πραγματικής εξοικονόμησης αποτελεί κοινή απαίτηση όλων των μηχανισμών, η απουσία της οποίας καθυστερεί την αναγνώριση σε καθέναν από αυτούς. Τα αποτελεσματικότερα μέτρα είναι επομένως πιθανό να είναι εκείνα που μειώνουν την αβεβαιότητα του επενδυτή: η τυποποιημένη επαλήθευση της εξοικονόμησης, η αποσαφήνιση των ζητημάτων ασφάλειας της Ενότητας 4.6.3 και ένα σταθερό σήμα τιμής άνθρακα [</w:t>
      </w:r>
      <w:r>
        <w:fldChar w:fldCharType="begin"/>
      </w:r>
      <w:r>
        <w:instrText xml:space="preserve"> REF _Ref_cit_32 \h \* MERGEFORMAT </w:instrText>
      </w:r>
      <w:r>
        <w:fldChar w:fldCharType="separate"/>
      </w:r>
      <w:r w:rsidR="00B0043E" w:rsidRPr="00B0043E">
        <w:t>32</w:t>
      </w:r>
      <w:r>
        <w:fldChar w:fldCharType="end"/>
      </w:r>
      <w:r>
        <w:t>].</w:t>
      </w:r>
    </w:p>
    <w:p w14:paraId="2B783814" w14:textId="77777777" w:rsidR="00DE3C3C" w:rsidRDefault="003C7DFB">
      <w:pPr>
        <w:pStyle w:val="20"/>
      </w:pPr>
      <w:bookmarkStart w:id="196" w:name="_Toc243355358"/>
      <w:r>
        <w:t>Περιορισμοί</w:t>
      </w:r>
      <w:bookmarkEnd w:id="196"/>
    </w:p>
    <w:p w14:paraId="3E0C118F" w14:textId="7C01A42B" w:rsidR="00DE3C3C" w:rsidRDefault="003C7DFB">
      <w:pPr>
        <w:spacing w:line="360" w:lineRule="auto"/>
        <w:ind w:firstLine="576"/>
        <w:jc w:val="both"/>
      </w:pPr>
      <w:r>
        <w:t xml:space="preserve">Οι περιορισμοί της παρούσας μελέτης πρέπει να διατυπωθούν με σαφήνεια. Η αξιολόγηση βασίζεται στη βιβλιογραφία και σε δημόσια διαθέσιμα δεδομένα και δεδομένα εκπομπών και δεν περιλαμβάνει προσομοίωση ενός συγκεκριμένου πλοίου </w:t>
      </w:r>
      <w:r>
        <w:lastRenderedPageBreak/>
        <w:t>σε συγκεκριμένη διαδρομή με καιρικά δεδομένα, οπότε τα αποτελέσματα είναι ενδεικτικά και όχι προβλεπτικά. Τα αξιόπιστα δεδομένα κόστους για τα WAPS είναι λιγοστά, ενώ το πιο λεπτομερές μοντέλο που εξετάστηκε [</w:t>
      </w:r>
      <w:r>
        <w:fldChar w:fldCharType="begin"/>
      </w:r>
      <w:r>
        <w:instrText xml:space="preserve"> REF _Ref_cit_45 \h \* MERGEFORMAT </w:instrText>
      </w:r>
      <w:r>
        <w:fldChar w:fldCharType="separate"/>
      </w:r>
      <w:r w:rsidR="00B0043E" w:rsidRPr="00B0043E">
        <w:t>45</w:t>
      </w:r>
      <w:r>
        <w:fldChar w:fldCharType="end"/>
      </w:r>
      <w:r>
        <w:t xml:space="preserve">] βασίζεται σε εμπιστευτικά δεδομένα του κατασκευαστή της τεχνολογίας και σε έναν τύπο πλοίου, μία τεχνολογία και μία διαδρομή. Τα στοιχεία για την εξοικονόμηση είναι ανομοιογενούς ποιότητας: πολλές μετρημένες τιμές αναφέρονται από κατασκευαστές ή διαχειριστές και δεν έχουν επαληθευτεί ανεξάρτητα, ο αριθμός των πλοίων είναι μικρός, οι μέθοδοι διαφέρουν, ενώ ορισμένες πηγές είναι φοιτητικές εργασίες ή γκρίζα βιβλιογραφία. Οι υπολογισμοί της Ενότητας 4.10 χρησιμοποιούν υποτιθέμενες τιμές δικαιωμάτων, υποτιθέμενη ένταση αερίων θερμοκηπίου του καυσίμου και υποτιθέμενη επένδυση, αφορούν μόνο τα πετρελαϊκά καύσιμα και παραλείπουν το μεθάνιο και το </w:t>
      </w:r>
      <w:proofErr w:type="spellStart"/>
      <w:r>
        <w:t>υποξείδιο</w:t>
      </w:r>
      <w:proofErr w:type="spellEnd"/>
      <w:r>
        <w:t xml:space="preserve"> του αζώτου· δείχνουν τάξεις μεγέθους και ευαισθησίες και δεν αποτελούν πρόβλεψη. Τα δεδομένα εκπομπών αφορούν το έτος αναφοράς 2024, το οποίο επηρεάστηκε από εξαιρετικές συνθήκες δρομολόγησης. Το κανονιστικό </w:t>
      </w:r>
      <w:r w:rsidR="00161099">
        <w:t>πλαίσιο</w:t>
      </w:r>
      <w:r>
        <w:t xml:space="preserve"> μεταβάλλεται επίσης ταχέως, ιδίως ως προς την κατάσταση του Πλαισίου Μηδενικών Καθαρών Εκπομπών του IMO και τις ρήτρες αναθεώρησης των ευρωπαϊκών εργαλείων, και οι πληροφορίες που παρατίθενται εδώ αντανακλούν την κατάσταση του Σεπτεμβρίου 2026 και πρέπει να ελέγχονται έναντι των πρωτογενών νομικών κειμένων πριν χρησιμοποιηθούν για τη λήψη αποφάσεων.</w:t>
      </w:r>
    </w:p>
    <w:p w14:paraId="67307CAC" w14:textId="0A064992" w:rsidR="006C4C83" w:rsidRDefault="001A2FEB">
      <w:pPr>
        <w:spacing w:line="360" w:lineRule="auto"/>
        <w:ind w:firstLine="576"/>
        <w:jc w:val="both"/>
      </w:pPr>
      <w:r w:rsidRPr="00161099">
        <w:t xml:space="preserve">Κατά τη συμπλήρωση της βιβλιογραφίας εντοπίστηκαν επίσης άλλες σχετικές μελέτες, για ορισμένες από τις οποίες το πλήρες κείμενο δεν ήταν </w:t>
      </w:r>
      <w:proofErr w:type="spellStart"/>
      <w:r w:rsidRPr="00161099">
        <w:t>προσβάσιμο</w:t>
      </w:r>
      <w:proofErr w:type="spellEnd"/>
      <w:r w:rsidRPr="00161099">
        <w:t>, καθώς δεν υπήρχε πρόσβαση ή άδεια χρήσης του πλήρους κειμένου. Στις περιπτώσεις αυτές, όπως για τις [</w:t>
      </w:r>
      <w:r w:rsidRPr="00161099">
        <w:fldChar w:fldCharType="begin"/>
      </w:r>
      <w:r w:rsidRPr="00161099">
        <w:instrText xml:space="preserve"> REF _Ref_cit_66 \h \* MERGEFORMAT </w:instrText>
      </w:r>
      <w:r w:rsidRPr="00161099">
        <w:fldChar w:fldCharType="separate"/>
      </w:r>
      <w:r w:rsidR="00B0043E" w:rsidRPr="00B0043E">
        <w:t>66</w:t>
      </w:r>
      <w:r w:rsidRPr="00161099">
        <w:fldChar w:fldCharType="end"/>
      </w:r>
      <w:r w:rsidRPr="00161099">
        <w:t>]–[</w:t>
      </w:r>
      <w:r w:rsidRPr="00161099">
        <w:fldChar w:fldCharType="begin"/>
      </w:r>
      <w:r w:rsidRPr="00161099">
        <w:instrText xml:space="preserve"> REF _Ref_cit_69 \h \* MERGEFORMAT </w:instrText>
      </w:r>
      <w:r w:rsidRPr="00161099">
        <w:fldChar w:fldCharType="separate"/>
      </w:r>
      <w:r w:rsidR="00B0043E" w:rsidRPr="00B0043E">
        <w:t>69</w:t>
      </w:r>
      <w:r w:rsidRPr="00161099">
        <w:fldChar w:fldCharType="end"/>
      </w:r>
      <w:r w:rsidRPr="00161099">
        <w:t>] και την [</w:t>
      </w:r>
      <w:r w:rsidRPr="00161099">
        <w:fldChar w:fldCharType="begin"/>
      </w:r>
      <w:r w:rsidRPr="00161099">
        <w:instrText xml:space="preserve"> REF _Ref_cit_73 \h \* MERGEFORMAT </w:instrText>
      </w:r>
      <w:r w:rsidRPr="00161099">
        <w:fldChar w:fldCharType="separate"/>
      </w:r>
      <w:r w:rsidR="00B0043E" w:rsidRPr="00B0043E">
        <w:t>73</w:t>
      </w:r>
      <w:r w:rsidRPr="00161099">
        <w:fldChar w:fldCharType="end"/>
      </w:r>
      <w:r w:rsidRPr="00161099">
        <w:t>], αξιοποιήθηκαν μόνο τα στοιχεία που δημοσιεύονται στις περιλήψεις και στις σελίδες των εκδοτών. Γι’ αυτό τα στοιχεία που παρατίθενται για τις μελέτες αυτές περιορίζονται σε όσα αναφέρονται εκεί, και δεν ήταν δυνατό να αντληθούν επιπλέον δεδομένα κόστους, χρηματοοικονομικοί δείκτες ή παραδοχές, όπως ο IRR ή το προεξοφλητικό επιτόκιο των περιπτώσεων, ώστε να ενισχυθεί η ποσοτική σύγκριση.</w:t>
      </w:r>
    </w:p>
    <w:p w14:paraId="700A80ED" w14:textId="77777777" w:rsidR="00DE3C3C" w:rsidRDefault="003C7DFB">
      <w:pPr>
        <w:pStyle w:val="20"/>
      </w:pPr>
      <w:bookmarkStart w:id="197" w:name="_Toc243355359"/>
      <w:r>
        <w:t>Επιπτώσεις για τους εμπλεκόμενους φορείς</w:t>
      </w:r>
      <w:bookmarkEnd w:id="197"/>
    </w:p>
    <w:p w14:paraId="5E00E61A" w14:textId="77777777" w:rsidR="00DE3C3C" w:rsidRDefault="003C7DFB">
      <w:pPr>
        <w:spacing w:line="360" w:lineRule="auto"/>
        <w:ind w:firstLine="576"/>
        <w:jc w:val="both"/>
      </w:pPr>
      <w:r>
        <w:t xml:space="preserve">Για τους πλοιοκτήτες και τους διαχειριστές πλοίων, η ανάλυση υποδεικνύει ότι τα WAPS πρέπει να αξιολογούνται με βάση το σύνολο της κανονιστικής αξίας και όχι μόνο την τιμή του καυσίμου, ότι το εμπορικό πρότυπο του πλοίου πρέπει να αποτελεί πρωτεύον δεδομένο εισόδου για την απόφαση, και ότι η επένδυση πρέπει να ελέγχεται </w:t>
      </w:r>
      <w:r>
        <w:lastRenderedPageBreak/>
        <w:t xml:space="preserve">έναντι ενός εύρους τιμών δικαιωμάτων και έναντι του κινδύνου τα όρια του </w:t>
      </w:r>
      <w:proofErr w:type="spellStart"/>
      <w:r>
        <w:t>FuelEU</w:t>
      </w:r>
      <w:proofErr w:type="spellEnd"/>
      <w:r>
        <w:t xml:space="preserve"> να </w:t>
      </w:r>
      <w:proofErr w:type="spellStart"/>
      <w:r>
        <w:t>αυστηροποιηθούν</w:t>
      </w:r>
      <w:proofErr w:type="spellEnd"/>
      <w:r>
        <w:t xml:space="preserve"> ταχύτερα από την εξέλιξη της εφοδιαστικής αλυσίδας καυσίμων. Για τους σχεδιαστές και τα ναυπηγεία, τα στοιχεία των μελετών βελτιστοποίησης δείχνουν ότι οι νέες ναυπηγήσεις προσφέρουν ευνοϊκότερο αποτέλεσμα ως προς το κόστος και την επίδοση σε σχέση με τις μετασκευές, επειδή η γάστρα, η μηχανή και η διάταξη των ιστίων μπορούν να σχεδιαστούν από κοινού. Για τους φορείς χάραξης πολιτικής, τα αποτελέσματα δείχνουν ότι το σημερινό κίνητρο —ένας συντελεστής επιβράβευσης με ανώτατο όριο 5% και μια τιμή άνθρακα που εφαρμόζεται στο ήμισυ των ταξιδιών εκτός ΕΕ— παρέχει ουσιαστικό σήμα βραχυπρόθεσμα, αλλά είναι περιορισμένο μακροπρόθεσμα, και ότι η αναγνώριση των WAPS στο πλαίσιο του IMO, καθώς και σαφείς κατευθυντήριες γραμμές για την επαλήθευση της συμβολής της αιολικής ώσης, θα μείωναν την αβεβαιότητα για τους επενδυτές.</w:t>
      </w:r>
    </w:p>
    <w:p w14:paraId="49574B70" w14:textId="34F5DA2F" w:rsidR="00603361" w:rsidRDefault="00603361">
      <w:r>
        <w:br w:type="page"/>
      </w:r>
    </w:p>
    <w:p w14:paraId="638863C3" w14:textId="5A54EB78" w:rsidR="00DE3C3C" w:rsidRDefault="003C7DFB">
      <w:pPr>
        <w:pStyle w:val="11"/>
      </w:pPr>
      <w:bookmarkStart w:id="198" w:name="_Toc243355360"/>
      <w:r>
        <w:lastRenderedPageBreak/>
        <w:t xml:space="preserve">Συμπεράσματα και </w:t>
      </w:r>
      <w:r w:rsidR="005B0A90">
        <w:t>σημεία περαιτέρω διερεύνησης</w:t>
      </w:r>
      <w:bookmarkEnd w:id="198"/>
    </w:p>
    <w:p w14:paraId="02681466" w14:textId="51793893" w:rsidR="00DE3C3C" w:rsidRDefault="00846F9E">
      <w:pPr>
        <w:pStyle w:val="20"/>
      </w:pPr>
      <w:bookmarkStart w:id="199" w:name="_Toc243355361"/>
      <w:r>
        <w:t>Κυριότερα σ</w:t>
      </w:r>
      <w:r w:rsidR="003C7DFB">
        <w:t>υμπεράσματα</w:t>
      </w:r>
      <w:bookmarkEnd w:id="199"/>
    </w:p>
    <w:p w14:paraId="6DE33763" w14:textId="56CCBF17" w:rsidR="00DE3C3C" w:rsidRDefault="003C7DFB">
      <w:pPr>
        <w:spacing w:line="360" w:lineRule="auto"/>
        <w:ind w:firstLine="576"/>
        <w:jc w:val="both"/>
      </w:pPr>
      <w:r>
        <w:t>Σκοπός της παρούσας διπλωματικής εργασίας ήταν η αξιολόγηση των δυνατοτήτων των συστημάτων αιολικής υποβοήθησης της πρόωσης ως μέσου βελτίωσης της ενεργειακής απόδοσης και της περιβαλλοντικής επίδοσης των εμπορικών πλοίων, συνδυάζοντας μια τεχνοοικονομική αξιολόγηση βασισμένη στη βιβλιογραφία με μια ανάλυση του κανονιστικού πλαισίου στο οποίο θα λειτουργούσαν τα συστήματα αυτά. Τα κύρια συμπεράσματα είναι τα εξής.</w:t>
      </w:r>
    </w:p>
    <w:p w14:paraId="40D0C2DC" w14:textId="12A047CC" w:rsidR="00DE3C3C" w:rsidRDefault="005B0A90" w:rsidP="005B0A90">
      <w:pPr>
        <w:pStyle w:val="a6"/>
        <w:numPr>
          <w:ilvl w:val="0"/>
          <w:numId w:val="7"/>
        </w:numPr>
        <w:spacing w:after="240" w:line="360" w:lineRule="auto"/>
        <w:ind w:left="360"/>
        <w:jc w:val="both"/>
      </w:pPr>
      <w:r>
        <w:t>Τ</w:t>
      </w:r>
      <w:r w:rsidR="003C7DFB">
        <w:t xml:space="preserve">α WAPS αποτελούν μια </w:t>
      </w:r>
      <w:r w:rsidR="003C7DFB" w:rsidRPr="005B0A90">
        <w:rPr>
          <w:b/>
          <w:bCs/>
        </w:rPr>
        <w:t>τεχνικά</w:t>
      </w:r>
      <w:r w:rsidRPr="005B0A90">
        <w:rPr>
          <w:b/>
          <w:bCs/>
        </w:rPr>
        <w:t xml:space="preserve"> </w:t>
      </w:r>
      <w:r w:rsidR="003C7DFB" w:rsidRPr="005B0A90">
        <w:rPr>
          <w:b/>
          <w:bCs/>
        </w:rPr>
        <w:t>ώριμη οικογένεια</w:t>
      </w:r>
      <w:r w:rsidR="003C7DFB">
        <w:t xml:space="preserve"> τεχνολογιών, που περιλαμβάνει τα ιστία-</w:t>
      </w:r>
      <w:proofErr w:type="spellStart"/>
      <w:r w:rsidR="003C7DFB">
        <w:t>ρότορες</w:t>
      </w:r>
      <w:proofErr w:type="spellEnd"/>
      <w:r w:rsidR="003C7DFB">
        <w:t>, τις πτέρυγες αναρρόφησης, τα άκαμπτα ιστία και τα ιστία-χαρταετούς, οι οποίες μετατρέπουν τον φαινόμενο άνεμο απευθείας σε ώση και μειώνουν έτσι την ισχύ που πρέπει να παρέχει η κύρια μηχανή. Η αναφερόμενη εξοικονόμηση καυσίμου για τα ιστία-</w:t>
      </w:r>
      <w:proofErr w:type="spellStart"/>
      <w:r w:rsidR="003C7DFB">
        <w:t>ρότορες</w:t>
      </w:r>
      <w:proofErr w:type="spellEnd"/>
      <w:r w:rsidR="003C7DFB">
        <w:t xml:space="preserve"> κυμαίνεται συνήθως από 4 έως 15%, με έως 25% υπό ευνοϊκές συνθήκες, ενώ ένα ευρύτερο εύρος της βιβλιογραφίας, 5–20% των ενεργειακών αναγκών πρόωσης, επεκτείνεται σε πάνω από 50% μόνο όταν ο άνεμος αποτελεί την κύρια πηγή [</w:t>
      </w:r>
      <w:r w:rsidR="003C7DFB">
        <w:fldChar w:fldCharType="begin"/>
      </w:r>
      <w:r w:rsidR="003C7DFB">
        <w:instrText xml:space="preserve"> REF _Ref_cit_34 \h \* MERGEFORMAT </w:instrText>
      </w:r>
      <w:r w:rsidR="003C7DFB">
        <w:fldChar w:fldCharType="separate"/>
      </w:r>
      <w:r w:rsidR="00B0043E" w:rsidRPr="00B0043E">
        <w:t>34</w:t>
      </w:r>
      <w:r w:rsidR="003C7DFB">
        <w:fldChar w:fldCharType="end"/>
      </w:r>
      <w:r w:rsidR="003C7DFB">
        <w:t>], [</w:t>
      </w:r>
      <w:r w:rsidR="003C7DFB">
        <w:fldChar w:fldCharType="begin"/>
      </w:r>
      <w:r w:rsidR="003C7DFB">
        <w:instrText xml:space="preserve"> REF _Ref_cit_40 \h \* MERGEFORMAT </w:instrText>
      </w:r>
      <w:r w:rsidR="003C7DFB">
        <w:fldChar w:fldCharType="separate"/>
      </w:r>
      <w:r w:rsidR="00B0043E" w:rsidRPr="00B0043E">
        <w:t>40</w:t>
      </w:r>
      <w:r w:rsidR="003C7DFB">
        <w:fldChar w:fldCharType="end"/>
      </w:r>
      <w:r w:rsidR="003C7DFB">
        <w:t>]. Η εξοικονόμηση που επιτυγχάνεται τελικά καθορίζεται περισσότερο από το αιολικό κλίμα, τη διαδρομή, τον τύπο του πλοίου, την ταχύτητα</w:t>
      </w:r>
      <w:r w:rsidR="00D30F13">
        <w:t xml:space="preserve"> λειτουργίας</w:t>
      </w:r>
      <w:r w:rsidR="003C7DFB">
        <w:t xml:space="preserve"> και τη διάταξη της εγκατάστασης παρά από την επιλογή της τεχνολογίας αυτής καθαυτής.</w:t>
      </w:r>
    </w:p>
    <w:p w14:paraId="6B16D61C" w14:textId="77777777" w:rsidR="005B0A90" w:rsidRPr="005B0A90" w:rsidRDefault="005B0A90" w:rsidP="005B0A90">
      <w:pPr>
        <w:pStyle w:val="a6"/>
        <w:spacing w:line="360" w:lineRule="auto"/>
        <w:ind w:left="360"/>
        <w:jc w:val="both"/>
        <w:rPr>
          <w:sz w:val="10"/>
          <w:szCs w:val="10"/>
        </w:rPr>
      </w:pPr>
    </w:p>
    <w:p w14:paraId="7993FDBF" w14:textId="245C46A4" w:rsidR="005B0A90" w:rsidRDefault="005B0A90" w:rsidP="005B0A90">
      <w:pPr>
        <w:pStyle w:val="a6"/>
        <w:numPr>
          <w:ilvl w:val="0"/>
          <w:numId w:val="7"/>
        </w:numPr>
        <w:spacing w:line="360" w:lineRule="auto"/>
        <w:ind w:left="360"/>
        <w:jc w:val="both"/>
      </w:pPr>
      <w:r>
        <w:t>Η</w:t>
      </w:r>
      <w:r w:rsidR="004C036E" w:rsidRPr="004C036E">
        <w:t xml:space="preserve"> </w:t>
      </w:r>
      <w:r w:rsidR="004C036E" w:rsidRPr="005B0A90">
        <w:rPr>
          <w:b/>
          <w:bCs/>
        </w:rPr>
        <w:t>οικονομική σκοπιμότητα</w:t>
      </w:r>
      <w:r w:rsidR="004C036E" w:rsidRPr="004C036E">
        <w:t xml:space="preserve"> </w:t>
      </w:r>
      <w:r w:rsidR="004C036E" w:rsidRPr="005B0A90">
        <w:rPr>
          <w:b/>
          <w:bCs/>
        </w:rPr>
        <w:t>δεν είναι ίδια</w:t>
      </w:r>
      <w:r w:rsidR="004C036E" w:rsidRPr="004C036E">
        <w:t xml:space="preserve"> σε όλες τις περιπτώσεις</w:t>
      </w:r>
      <w:r w:rsidR="003C7DFB">
        <w:t>. Στην πιο λεπτομερή μελέτη βελτιστοποίησης σχεδιασμού που εξετάστηκε, τέσσερα άκαμπτα ιστία αύξησαν τις κεφαλαιουχικές δαπάνες ενός φορτηγού πλοίου χύδην ξηρού φορτίου 77</w:t>
      </w:r>
      <w:r w:rsidR="004C036E">
        <w:t>.</w:t>
      </w:r>
      <w:r w:rsidR="003C7DFB">
        <w:t xml:space="preserve">721 DWT κατά περίπου 18–19%, επιπλέον κόστος που μειώθηκε σε περίπου 7% όταν η γάστρα, η μηχανή και η </w:t>
      </w:r>
      <w:r w:rsidR="004C036E">
        <w:t>προπέλα</w:t>
      </w:r>
      <w:r w:rsidR="003C7DFB">
        <w:t xml:space="preserve"> σχεδιάστηκαν γύρω από τα ιστία, ενώ η μεταβολή της καθαρής παρούσας αξίας σε σχέση με ένα πλοίο αναφοράς κυμάνθηκε από −1.3 εκατομμύρια</w:t>
      </w:r>
      <w:r w:rsidR="004C036E" w:rsidRPr="004C036E">
        <w:t xml:space="preserve"> </w:t>
      </w:r>
      <w:r w:rsidR="004C036E">
        <w:t>USD</w:t>
      </w:r>
      <w:r w:rsidR="003C7DFB">
        <w:t xml:space="preserve"> έως +10.3 εκατομμύρια</w:t>
      </w:r>
      <w:r w:rsidR="004C036E" w:rsidRPr="004C036E">
        <w:t xml:space="preserve"> </w:t>
      </w:r>
      <w:r w:rsidR="004C036E">
        <w:t>USD</w:t>
      </w:r>
      <w:r w:rsidR="003C7DFB">
        <w:t>, ανάλογα με τον στόχο, με προεξοφλητικό επιτόκιο 10% και ορίζοντα 20 ετών [</w:t>
      </w:r>
      <w:r w:rsidR="003C7DFB">
        <w:fldChar w:fldCharType="begin"/>
      </w:r>
      <w:r w:rsidR="003C7DFB">
        <w:instrText xml:space="preserve"> REF _Ref_cit_45 \h \* MERGEFORMAT </w:instrText>
      </w:r>
      <w:r w:rsidR="003C7DFB">
        <w:fldChar w:fldCharType="separate"/>
      </w:r>
      <w:r w:rsidR="00B0043E" w:rsidRPr="00B0043E">
        <w:t>45</w:t>
      </w:r>
      <w:r w:rsidR="003C7DFB">
        <w:fldChar w:fldCharType="end"/>
      </w:r>
      <w:r w:rsidR="003C7DFB">
        <w:t xml:space="preserve">]. Κανένας σχεδιασμός δεν υπερείχε ταυτόχρονα ως προς το κόστος, τις εκπομπές και την κερδοφορία, και τα αποτελέσματα καταδεικνύουν ότι η κανονιστική </w:t>
      </w:r>
      <w:r w:rsidR="003C7DFB">
        <w:lastRenderedPageBreak/>
        <w:t xml:space="preserve">συμμόρφωση, για παράδειγμα με τη </w:t>
      </w:r>
      <w:r w:rsidR="002E3C0A">
        <w:t>3</w:t>
      </w:r>
      <w:r w:rsidR="004C036E" w:rsidRPr="005B0A90">
        <w:rPr>
          <w:vertAlign w:val="superscript"/>
        </w:rPr>
        <w:t>η</w:t>
      </w:r>
      <w:r w:rsidR="004C036E">
        <w:t xml:space="preserve"> </w:t>
      </w:r>
      <w:r w:rsidR="002E3C0A">
        <w:t xml:space="preserve"> Φάση</w:t>
      </w:r>
      <w:r w:rsidR="003C7DFB">
        <w:t xml:space="preserve"> του EEDI, μπορεί να αποτελέσει τον δεσμευτικό περιορισμό που καθορίζει το αποτέλεσμα.</w:t>
      </w:r>
    </w:p>
    <w:p w14:paraId="0736DDB1" w14:textId="33E4E710" w:rsidR="00DE3C3C" w:rsidRDefault="005B0A90" w:rsidP="005B0A90">
      <w:pPr>
        <w:pStyle w:val="a6"/>
        <w:numPr>
          <w:ilvl w:val="0"/>
          <w:numId w:val="7"/>
        </w:numPr>
        <w:spacing w:line="360" w:lineRule="auto"/>
        <w:ind w:left="360"/>
        <w:jc w:val="both"/>
      </w:pPr>
      <w:r>
        <w:t>Τ</w:t>
      </w:r>
      <w:r w:rsidR="003C7DFB">
        <w:t xml:space="preserve">ο </w:t>
      </w:r>
      <w:r w:rsidR="003C7DFB" w:rsidRPr="005B0A90">
        <w:rPr>
          <w:b/>
          <w:bCs/>
        </w:rPr>
        <w:t>ευρωπαϊκό κανονιστικό πλαίσιο αυξάνει ουσιωδώς την αξία</w:t>
      </w:r>
      <w:r w:rsidR="003C7DFB">
        <w:t xml:space="preserve"> της εξοικονόμησης καυσίμου. Οι θαλάσσιες μεταφορές στην Ευρώπη δήλωσαν 144</w:t>
      </w:r>
      <w:r w:rsidR="00FD56F9">
        <w:t>,</w:t>
      </w:r>
      <w:r w:rsidR="003C7DFB">
        <w:t xml:space="preserve">9 εκατομμύρια τόνους CO₂ το 2024, και το EU ETS και ο </w:t>
      </w:r>
      <w:proofErr w:type="spellStart"/>
      <w:r w:rsidR="003C7DFB">
        <w:t>FuelEU</w:t>
      </w:r>
      <w:proofErr w:type="spellEnd"/>
      <w:r w:rsidR="003C7DFB">
        <w:t xml:space="preserve"> Maritime αποδίδουν πλέον τιμή και όριο στις εκπομπές αυτές. Σε πλήρη εφαρμογή και με υποτιθέμενες τιμές δικαιωμάτων 60 έως 100</w:t>
      </w:r>
      <w:r w:rsidR="00FD56F9" w:rsidRPr="00FD56F9">
        <w:t xml:space="preserve"> </w:t>
      </w:r>
      <w:r w:rsidR="00FD56F9">
        <w:t>EUR</w:t>
      </w:r>
      <w:r w:rsidR="003C7DFB">
        <w:t xml:space="preserve"> ανά τόνο, κάθε τόνος εξοικονο</w:t>
      </w:r>
      <w:r w:rsidR="00FD56F9">
        <w:t>μ</w:t>
      </w:r>
      <w:r w:rsidR="003C7DFB">
        <w:t>ούμενου καυσίμου αποτρέπει κόστος άνθρακα 190 έως 310</w:t>
      </w:r>
      <w:r w:rsidR="00FD56F9" w:rsidRPr="00FD56F9">
        <w:t xml:space="preserve"> </w:t>
      </w:r>
      <w:r w:rsidR="00FD56F9">
        <w:t xml:space="preserve">EUR </w:t>
      </w:r>
      <w:r w:rsidR="003C7DFB">
        <w:t xml:space="preserve">στα ταξίδια εντός ΕΕ και το ήμισυ αυτού στα ταξίδια εκτός ΕΕ, ενώ ο συντελεστής επιβράβευσης αιολικής ενέργειας του </w:t>
      </w:r>
      <w:proofErr w:type="spellStart"/>
      <w:r w:rsidR="003C7DFB">
        <w:t>FuelEU</w:t>
      </w:r>
      <w:proofErr w:type="spellEnd"/>
      <w:r w:rsidR="003C7DFB">
        <w:t>, έως 5%, μπορεί να εξαλείψει την έκθεση συμμόρφωσης ενός πλοίου που κινείται με ορυκτά καύσιμα κατά τα πρώτα έτη εφαρμογής του κανονισμού. Ωστόσο, ο ίδιος υπολογισμός δείχνει ότι η επιβράβευση απέχει πολύ από το να επαρκεί για τα όρια της δεκαετίας του 2030 και μετά, οπότε τα WAPS είναι προτιμότερο να θεωρούνται συμπλήρωμα των εναλλακτικών καυσίμων.</w:t>
      </w:r>
    </w:p>
    <w:p w14:paraId="5EE37909" w14:textId="470C5456" w:rsidR="00DE3C3C" w:rsidRDefault="005B0A90" w:rsidP="005B0A90">
      <w:pPr>
        <w:pStyle w:val="a6"/>
        <w:numPr>
          <w:ilvl w:val="0"/>
          <w:numId w:val="7"/>
        </w:numPr>
        <w:spacing w:line="360" w:lineRule="auto"/>
        <w:ind w:left="360"/>
        <w:jc w:val="both"/>
      </w:pPr>
      <w:r>
        <w:t>Η</w:t>
      </w:r>
      <w:r w:rsidR="003C7DFB">
        <w:t xml:space="preserve"> </w:t>
      </w:r>
      <w:r w:rsidR="003C7DFB" w:rsidRPr="005B0A90">
        <w:rPr>
          <w:b/>
          <w:bCs/>
        </w:rPr>
        <w:t>συμβολή των WAPS</w:t>
      </w:r>
      <w:r w:rsidR="003C7DFB">
        <w:t xml:space="preserve"> σε επίπεδο ευρωπαϊκού στόλου </w:t>
      </w:r>
      <w:r w:rsidR="003C7DFB" w:rsidRPr="005B0A90">
        <w:rPr>
          <w:b/>
          <w:bCs/>
        </w:rPr>
        <w:t>είναι περιορισμένη</w:t>
      </w:r>
      <w:r w:rsidR="003C7DFB">
        <w:t>. Ακόμη και αν κάθε φορτηγό πλοίο χύδην ξηρού φορτίου και κάθε δεξαμενόπλοιο των δεδομένων MRV επιτύγχανε μέση εξοικονόμηση στόλου 4 έως 15%, οι εκπομπές που θα αποφεύγονταν θα ισοδυναμούσαν με περίπου 1 έως 4% των ευρωπαϊκών εκπομπών CO₂ της ναυτιλίας. Η σημασία των WAPS έγκειται επομένως στη βελτίωση των οικονομικών και της θέσης συμμόρφωσης των κατάλληλων πλοίων, στο πλαίσιο ενός χαρτοφυλακίου που περιλαμβάνει επιχειρησιακά μέτρα, διατάξεις εξοικονόμησης ενέργειας και καύσιμα χαμηλών εκπομπών άνθρακα.</w:t>
      </w:r>
    </w:p>
    <w:p w14:paraId="57A72EC7" w14:textId="1EF06246" w:rsidR="00DE3C3C" w:rsidRDefault="005B0A90" w:rsidP="005B0A90">
      <w:pPr>
        <w:pStyle w:val="a6"/>
        <w:numPr>
          <w:ilvl w:val="0"/>
          <w:numId w:val="7"/>
        </w:numPr>
        <w:spacing w:line="360" w:lineRule="auto"/>
        <w:ind w:left="360"/>
        <w:jc w:val="both"/>
      </w:pPr>
      <w:r>
        <w:t xml:space="preserve">Στην </w:t>
      </w:r>
      <w:r w:rsidRPr="005B0A90">
        <w:rPr>
          <w:b/>
          <w:bCs/>
        </w:rPr>
        <w:t xml:space="preserve">αξιολόγηση </w:t>
      </w:r>
      <w:r w:rsidRPr="00AD06A9">
        <w:rPr>
          <w:b/>
          <w:bCs/>
        </w:rPr>
        <w:t>των WAPS</w:t>
      </w:r>
      <w:r>
        <w:t xml:space="preserve"> ε</w:t>
      </w:r>
      <w:r w:rsidR="003C7DFB">
        <w:t xml:space="preserve">ξακολουθεί να </w:t>
      </w:r>
      <w:r w:rsidR="003C7DFB" w:rsidRPr="005B0A90">
        <w:rPr>
          <w:b/>
          <w:bCs/>
        </w:rPr>
        <w:t>υπάρχει σημαντική αβεβαιότητα</w:t>
      </w:r>
      <w:r w:rsidR="003C7DFB">
        <w:t>. Αυτή αφορά το κόστος, για το οποίο τα αξιόπιστα δημόσια δεδομένα είναι περιορισμένα, την τιμή των δικαιωμάτων και την αναθεώρηση των ευρωπαϊκών εργαλείων, καθώς και την τύχη του Πλαισίου Μηδενικών Καθαρών Εκπομπών του IMO, η υιοθέτηση του οποίου αναβλήθηκε τον Οκτώβριο του 2025 και το οποίο δεν είχε συμφωνηθεί κατά τον χρόνο συγγραφής. Οι αβεβαιότητες αυτές συνηγορούν υπέρ της λήψης αποφάσεων με βάση σενάρια και ανάλυση ευαισθησίας και όχι με βάση μια μεμονωμένη σημειακή εκτίμηση.</w:t>
      </w:r>
    </w:p>
    <w:p w14:paraId="43BA6055" w14:textId="029DD6BD" w:rsidR="00DE3C3C" w:rsidRDefault="005B0A90" w:rsidP="005B0A90">
      <w:pPr>
        <w:pStyle w:val="a6"/>
        <w:numPr>
          <w:ilvl w:val="0"/>
          <w:numId w:val="7"/>
        </w:numPr>
        <w:spacing w:line="360" w:lineRule="auto"/>
        <w:ind w:left="360"/>
        <w:jc w:val="both"/>
      </w:pPr>
      <w:r>
        <w:lastRenderedPageBreak/>
        <w:t>Τ</w:t>
      </w:r>
      <w:r w:rsidR="003C7DFB">
        <w:t xml:space="preserve">α </w:t>
      </w:r>
      <w:r w:rsidR="003C7DFB" w:rsidRPr="00AD06A9">
        <w:rPr>
          <w:b/>
          <w:bCs/>
        </w:rPr>
        <w:t>στοιχεία για την επίδοση παραμένουν περιορισμένα</w:t>
      </w:r>
      <w:r w:rsidR="003C7DFB">
        <w:t xml:space="preserve"> και η αναγνώριση</w:t>
      </w:r>
      <w:r w:rsidR="00A26950">
        <w:t xml:space="preserve"> τους</w:t>
      </w:r>
      <w:r w:rsidR="003C7DFB">
        <w:t xml:space="preserve"> βρίσκεται ακόμη υπό διαμόρφωση. Η εξοικονόμηση που </w:t>
      </w:r>
      <w:proofErr w:type="spellStart"/>
      <w:r w:rsidR="003C7DFB">
        <w:t>μετράται</w:t>
      </w:r>
      <w:proofErr w:type="spellEnd"/>
      <w:r w:rsidR="003C7DFB">
        <w:t xml:space="preserve"> σε πλοία σε λειτουργία είναι συνήθως χαμηλότερη και παρουσιάζει μεγαλύτερη διασπορά από εκείνη που προκύπτει από προσομοιώσεις, με τιμές 4 έως 15% για τις περισσότερες από τις εγκαταστάσεις που εξετάστηκαν, ενώ η πίστωση του EEDI, η επιβράβευση αιολικής ενέργειας του </w:t>
      </w:r>
      <w:proofErr w:type="spellStart"/>
      <w:r w:rsidR="003C7DFB">
        <w:t>FuelEU</w:t>
      </w:r>
      <w:proofErr w:type="spellEnd"/>
      <w:r w:rsidR="003C7DFB">
        <w:t xml:space="preserve"> και οι αποφάσεις χρηματοδότησης εξαρτώνται όλες από τη δυνατότητα επαλήθευσης της εξοικονόμησης. Ζητήματα ευστάθειας, ικανότητας ελιγμών, ελάχιστης ισχύος πρόωσης και ορατότητας μένει να διευθετηθούν στο κανονιστικό πλαίσιο.</w:t>
      </w:r>
    </w:p>
    <w:p w14:paraId="600E8720" w14:textId="53A2321B" w:rsidR="00DE3C3C" w:rsidRDefault="005B0A90" w:rsidP="005B0A90">
      <w:pPr>
        <w:pStyle w:val="a6"/>
        <w:numPr>
          <w:ilvl w:val="0"/>
          <w:numId w:val="7"/>
        </w:numPr>
        <w:spacing w:line="360" w:lineRule="auto"/>
        <w:ind w:left="360"/>
        <w:jc w:val="both"/>
      </w:pPr>
      <w:r>
        <w:t>Τ</w:t>
      </w:r>
      <w:r w:rsidR="003C7DFB">
        <w:t xml:space="preserve">α </w:t>
      </w:r>
      <w:r w:rsidR="003C7DFB" w:rsidRPr="00AD06A9">
        <w:rPr>
          <w:b/>
          <w:bCs/>
        </w:rPr>
        <w:t>εμπόδια στην υιοθέτηση είναι εξίσου οργανωτικά όσο και τεχνικά</w:t>
      </w:r>
      <w:r w:rsidR="003C7DFB">
        <w:t>. Στον ενδεικτικό υπολογισμό περιόδου αποπληρωμής του Κεφαλαίου 4, με επένδυση 3</w:t>
      </w:r>
      <w:r w:rsidR="003A5E12">
        <w:t>,</w:t>
      </w:r>
      <w:r w:rsidR="003C7DFB">
        <w:t>5 εκατομμυρίων</w:t>
      </w:r>
      <w:r w:rsidR="003A5E12" w:rsidRPr="003A5E12">
        <w:t xml:space="preserve"> </w:t>
      </w:r>
      <w:r w:rsidR="003A5E12">
        <w:t>EUR</w:t>
      </w:r>
      <w:r w:rsidR="0042410A">
        <w:t xml:space="preserve"> </w:t>
      </w:r>
      <w:r w:rsidR="003C7DFB">
        <w:t>και κατανάλωση καυσίμου 10</w:t>
      </w:r>
      <w:r w:rsidR="003A5E12">
        <w:t>.</w:t>
      </w:r>
      <w:r w:rsidR="003C7DFB">
        <w:t xml:space="preserve">000 τόνων ετησίως, απαιτείται εξοικονόμηση περίπου 10 έως 12% για την πενταετή περίοδο αποπληρωμής που οι πλοιοκτήτες θεωρούν κανόνα για τις μετασκευές όταν εφαρμόζεται η τιμή του άνθρακα, και περίπου 15% όταν δεν εφαρμόζεται. Ωστόσο, ο διαχωρισμός κόστους και οφέλους μεταξύ πλοιοκτητών, ναυλωτών και διαχειριστών, η κουλτούρα </w:t>
      </w:r>
      <w:proofErr w:type="spellStart"/>
      <w:r w:rsidR="003C7DFB">
        <w:t>just</w:t>
      </w:r>
      <w:proofErr w:type="spellEnd"/>
      <w:r w:rsidR="003C7DFB">
        <w:t>-in-</w:t>
      </w:r>
      <w:proofErr w:type="spellStart"/>
      <w:r w:rsidR="003C7DFB">
        <w:t>time</w:t>
      </w:r>
      <w:proofErr w:type="spellEnd"/>
      <w:r w:rsidR="003C7DFB">
        <w:t xml:space="preserve"> της ναύλωσης και η προτίμηση αναμονής για ένα νέο καύσιμο εμποδίζουν την κανονιστική αξία να φθάσει στο μέρος που πρέπει να επενδύσει. Τα WAPS είναι επομένως πιθανότερο να υιοθετηθούν σε νέες ναυπηγήσεις, σε διαδρομές με ισχυρούς ανέμους, σε συνδυασμό με άλλα μέτρα απόδοσης και εναλλακτικά καύσιμα, και από πλοιοκτήτες με μακροχρόνιες συμφωνίες με ναυλωτές.</w:t>
      </w:r>
    </w:p>
    <w:p w14:paraId="2862C632" w14:textId="46E0F0C1" w:rsidR="00DE3C3C" w:rsidRDefault="00AD06A9">
      <w:pPr>
        <w:pStyle w:val="20"/>
      </w:pPr>
      <w:bookmarkStart w:id="200" w:name="_Toc243355362"/>
      <w:r>
        <w:t>Προτεινόμενα σημεία για περαιτέρω διερεύνηση</w:t>
      </w:r>
      <w:bookmarkEnd w:id="200"/>
    </w:p>
    <w:p w14:paraId="705A3165" w14:textId="703296C5" w:rsidR="00DE3C3C" w:rsidRDefault="003C7DFB">
      <w:pPr>
        <w:spacing w:line="360" w:lineRule="auto"/>
        <w:ind w:firstLine="576"/>
        <w:jc w:val="both"/>
      </w:pPr>
      <w:r>
        <w:t xml:space="preserve">Η παρούσα εργασία </w:t>
      </w:r>
      <w:r w:rsidR="0027583D">
        <w:t>ανέδειξε σημεία τα οποία θα μπορούσαν να αποτελέσουν αντικείμενο περαιτέρω διερεύνησης</w:t>
      </w:r>
      <w:r>
        <w:t xml:space="preserve">. Η πιο άμεση </w:t>
      </w:r>
      <w:r w:rsidR="0027583D">
        <w:t xml:space="preserve">δυνατότητα </w:t>
      </w:r>
      <w:r>
        <w:t xml:space="preserve">είναι η εφαρμογή του πλαισίου αξιολόγησης του Κεφαλαίου 3 και των κανονιστικών μεγεθών του Κεφαλαίου 4 σε ένα αντιπροσωπευτικό πλοίο, για παράδειγμα ένα φορτηγό πλοίο χύδην ξηρού φορτίου ή ένα δεξαμενόπλοιο, χρησιμοποιώντας προσομοίωση συγκεκριμένης διαδρομής με ωριαία καιρικά δεδομένα, όπως τα δεδομένα </w:t>
      </w:r>
      <w:proofErr w:type="spellStart"/>
      <w:r>
        <w:t>επανανάλυσης</w:t>
      </w:r>
      <w:proofErr w:type="spellEnd"/>
      <w:r>
        <w:t xml:space="preserve"> ERA5, ώστε να </w:t>
      </w:r>
      <w:proofErr w:type="spellStart"/>
      <w:r>
        <w:t>ποσοτικοποιηθούν</w:t>
      </w:r>
      <w:proofErr w:type="spellEnd"/>
      <w:r>
        <w:t xml:space="preserve"> η εξοικονόμηση καυσίμου, η μείωση των εκπομπών, η καθαρή παρούσα αξία, ο εσωτερικός βαθμός απόδοσης και η περίοδος αποπληρωμής για κάθε τεχνολογία WAPS υπό συνεπείς παραδοχές. Μια δεύτερη επέκταση είναι η διενέργεια συστηματικών αναλύσεων ευαισθησίας και </w:t>
      </w:r>
      <w:proofErr w:type="spellStart"/>
      <w:r>
        <w:t>πιθανοτικών</w:t>
      </w:r>
      <w:proofErr w:type="spellEnd"/>
      <w:r>
        <w:t xml:space="preserve"> αναλύσεων για τα κύρια αβέβαια δεδομένα εισόδου, δηλαδή την τιμή του </w:t>
      </w:r>
      <w:r>
        <w:lastRenderedPageBreak/>
        <w:t xml:space="preserve">καυσίμου, την τιμή των δικαιωμάτων, το κόστος των WAPS και το αιολικό κλίμα, καθώς και η συμπερίληψη της </w:t>
      </w:r>
      <w:proofErr w:type="spellStart"/>
      <w:r>
        <w:t>προεξοφλημένης</w:t>
      </w:r>
      <w:proofErr w:type="spellEnd"/>
      <w:r>
        <w:t xml:space="preserve"> περιόδου αποπληρωμής και του IRR, τα οποία δεν αναφέρονταν στη βιβλιογραφία που εξετάστηκε.</w:t>
      </w:r>
    </w:p>
    <w:p w14:paraId="4F25E999" w14:textId="77777777" w:rsidR="00DE3C3C" w:rsidRDefault="003C7DFB">
      <w:pPr>
        <w:spacing w:line="360" w:lineRule="auto"/>
        <w:ind w:firstLine="576"/>
        <w:jc w:val="both"/>
      </w:pPr>
      <w:r>
        <w:t xml:space="preserve">Μια τρίτη κατεύθυνση είναι ο συνδυασμός των WAPS με εναλλακτικά καύσιμα, όπως η </w:t>
      </w:r>
      <w:proofErr w:type="spellStart"/>
      <w:r>
        <w:t>μεθανόλη</w:t>
      </w:r>
      <w:proofErr w:type="spellEnd"/>
      <w:r>
        <w:t xml:space="preserve">, το LNG ή η αμμωνία, ώστε να αξιολογηθεί πώς </w:t>
      </w:r>
      <w:proofErr w:type="spellStart"/>
      <w:r>
        <w:t>αλληλεπιδρούν</w:t>
      </w:r>
      <w:proofErr w:type="spellEnd"/>
      <w:r>
        <w:t xml:space="preserve"> ο συντελεστής επιβράβευσης αιολικής ενέργειας, οι πολλαπλασιαστές για τα ανανεώσιμα καύσιμα και ο μηχανισμός συγκέντρωσης (</w:t>
      </w:r>
      <w:proofErr w:type="spellStart"/>
      <w:r>
        <w:t>pooling</w:t>
      </w:r>
      <w:proofErr w:type="spellEnd"/>
      <w:r>
        <w:t xml:space="preserve">) του </w:t>
      </w:r>
      <w:proofErr w:type="spellStart"/>
      <w:r>
        <w:t>FuelEU</w:t>
      </w:r>
      <w:proofErr w:type="spellEnd"/>
      <w:r>
        <w:t xml:space="preserve"> Maritime, και αν η μείωση του όγκου καυσίμου που επιτυγχάνουν τα WAPS μειώνει το κόστος συμμόρφωσης με τα όρια των δεκαετιών του 2030 και του 2040. Μια τέταρτη είναι μια ανάλυση σεναρίων σε επίπεδο στόλου, η οποία θα χρησιμοποιεί τη βάση δεδομένων MRV για να εκτιμήσει τον αριθμό των πλοίων στις ευρωπαϊκές διαδρομές για τα οποία τα WAPS θα ήταν οικονομικά αιτιολογημένα, καθώς και την επακόλουθη μείωση των εκπομπών. Μια πέμπτη είναι η λεπτομερέστερη εξέταση της περίπτωσης της μετασκευής, συμπεριλαμβανομένων των περιορισμών ευστάθειας, αντοχής και διέλευσης σε λιμένες, καθώς και των επιχειρησιακών κινδύνων και των ασφαλιστικών επιπτώσεων, οι οποίοι εξετάστηκαν εδώ μόνο ποιοτικά. Τέλος, η ανάλυση θα πρέπει να </w:t>
      </w:r>
      <w:proofErr w:type="spellStart"/>
      <w:r>
        <w:t>επικαιροποιηθεί</w:t>
      </w:r>
      <w:proofErr w:type="spellEnd"/>
      <w:r>
        <w:t xml:space="preserve"> καθώς αποσαφηνίζονται η κατάσταση του Πλαισίου Μηδενικών Καθαρών Εκπομπών του IMO, η αναθεώρηση του EU ETS και του </w:t>
      </w:r>
      <w:proofErr w:type="spellStart"/>
      <w:r>
        <w:t>FuelEU</w:t>
      </w:r>
      <w:proofErr w:type="spellEnd"/>
      <w:r>
        <w:t xml:space="preserve"> Maritime και οι κατευθυντήριες γραμμές για την αναγνώριση της αιολικής ώσης στο πλαίσιο του IMO.</w:t>
      </w:r>
    </w:p>
    <w:p w14:paraId="7C7F80CC" w14:textId="1C1DEFA4" w:rsidR="00DE3C3C" w:rsidRDefault="003C7DFB">
      <w:pPr>
        <w:spacing w:line="360" w:lineRule="auto"/>
        <w:ind w:firstLine="576"/>
        <w:jc w:val="both"/>
      </w:pPr>
      <w:r>
        <w:t xml:space="preserve">Η επισκόπηση των </w:t>
      </w:r>
      <w:proofErr w:type="spellStart"/>
      <w:r>
        <w:t>Zhang</w:t>
      </w:r>
      <w:proofErr w:type="spellEnd"/>
      <w:r>
        <w:t xml:space="preserve"> </w:t>
      </w:r>
      <w:proofErr w:type="spellStart"/>
      <w:r>
        <w:t>et</w:t>
      </w:r>
      <w:proofErr w:type="spellEnd"/>
      <w:r>
        <w:t xml:space="preserve"> </w:t>
      </w:r>
      <w:proofErr w:type="spellStart"/>
      <w:r>
        <w:t>al</w:t>
      </w:r>
      <w:proofErr w:type="spellEnd"/>
      <w:r>
        <w:t xml:space="preserve">. εντοπίζει εννέα θέματα για μελλοντική έρευνα στα WAPS: τον σχεδιασμό διατάξεων υψηλής </w:t>
      </w:r>
      <w:proofErr w:type="spellStart"/>
      <w:r>
        <w:t>άντωσης</w:t>
      </w:r>
      <w:proofErr w:type="spellEnd"/>
      <w:r>
        <w:t xml:space="preserve"> και χαρταετών, τη βελτιστοποίηση της διάταξης συστοιχιών, την τυποποίηση του σχεδιασμού, τον ολοκληρωμένο έλεγχο του πλοίου και του WAPS, τη δομική ασφάλεια και την παρακολούθηση της δομικής ακεραιότητας, την ικανότητα ελιγμών και την αποφυγή συγκρούσεων, την αξιολόγηση της επίδοσης με βάση δεδομένα από ανοιχτές βάσεις δεδομένων πλήρους κλίμακας, την ανάλυση κύκλου ζωής και κόστους κύκλου ζωής, και την παρέμβαση πολιτικής, συμπεριλαμβανομένων των κρίσιμων σημείων ανατροπής της τιμής του άνθρακα [</w:t>
      </w:r>
      <w:r>
        <w:fldChar w:fldCharType="begin"/>
      </w:r>
      <w:r>
        <w:instrText xml:space="preserve"> REF _Ref_cit_28 \h \* MERGEFORMAT </w:instrText>
      </w:r>
      <w:r>
        <w:fldChar w:fldCharType="separate"/>
      </w:r>
      <w:r w:rsidR="00B0043E" w:rsidRPr="00B0043E">
        <w:t>28</w:t>
      </w:r>
      <w:r>
        <w:fldChar w:fldCharType="end"/>
      </w:r>
      <w:r>
        <w:t xml:space="preserve">]. Τα πιο σχετικά με την οικονομική αξιολόγηση είναι τα τρία τελευταία: τα ανοιχτά δεδομένα πλήρους κλίμακας θα μείωναν την αβεβαιότητα της εξοικονόμησης, η οποία αποτελεί την κύρια αβεβαιότητα στον υπολογισμό της περιόδου αποπληρωμής· μια πλήρης ανάλυση κύκλου ζωής θα περιλάμβανε τις εκπομπές και το κόστος της κατασκευής, της εγκατάστασης και της </w:t>
      </w:r>
      <w:r>
        <w:lastRenderedPageBreak/>
        <w:t>απόσυρσης, τα οποία δεν εξετάζονται εδώ· και μια ανάλυση των σημείων ανατροπής της τιμής του άνθρακα θα προσδιόριζε την τιμή δικαιώματος στην οποία τα WAPS καθίστανται βιώσιμα για συγκεκριμένους τύπους πλοίων, ζήτημα που ο ενδεικτικός υπολογισμός της Ενότητας 4.10.3 μόλις αρχίζει να προσεγγίζει.</w:t>
      </w:r>
    </w:p>
    <w:p w14:paraId="427D19BB" w14:textId="1E06F601" w:rsidR="00DE3C3C" w:rsidRDefault="003C7DFB">
      <w:pPr>
        <w:spacing w:line="360" w:lineRule="auto"/>
        <w:ind w:firstLine="576"/>
        <w:jc w:val="both"/>
      </w:pPr>
      <w:r>
        <w:t xml:space="preserve">Περαιτέρω έρευνα προτείνεται επίσης από τα οργανωτικά ευρήματα. Η μελέτη συνεντεύξεων των </w:t>
      </w:r>
      <w:proofErr w:type="spellStart"/>
      <w:r>
        <w:t>Djoumessi</w:t>
      </w:r>
      <w:proofErr w:type="spellEnd"/>
      <w:r>
        <w:t xml:space="preserve"> </w:t>
      </w:r>
      <w:proofErr w:type="spellStart"/>
      <w:r>
        <w:t>et</w:t>
      </w:r>
      <w:proofErr w:type="spellEnd"/>
      <w:r>
        <w:t xml:space="preserve"> </w:t>
      </w:r>
      <w:proofErr w:type="spellStart"/>
      <w:r>
        <w:t>al</w:t>
      </w:r>
      <w:proofErr w:type="spellEnd"/>
      <w:r>
        <w:t xml:space="preserve">. ήταν διερευνητική και περιλάμβανε λίγους πλοιοκτήτες μεταξύ των </w:t>
      </w:r>
      <w:proofErr w:type="spellStart"/>
      <w:r>
        <w:t>συνεντευξιαζομένων</w:t>
      </w:r>
      <w:proofErr w:type="spellEnd"/>
      <w:r>
        <w:t xml:space="preserve"> [</w:t>
      </w:r>
      <w:r>
        <w:fldChar w:fldCharType="begin"/>
      </w:r>
      <w:r>
        <w:instrText xml:space="preserve"> REF _Ref_cit_34 \h \* MERGEFORMAT </w:instrText>
      </w:r>
      <w:r>
        <w:fldChar w:fldCharType="separate"/>
      </w:r>
      <w:r w:rsidR="00B0043E" w:rsidRPr="00B0043E">
        <w:t>34</w:t>
      </w:r>
      <w:r>
        <w:fldChar w:fldCharType="end"/>
      </w:r>
      <w:r>
        <w:t xml:space="preserve">]· μια έρευνα σε μεγαλύτερο αριθμό πλοιοκτητών, ναυλωτών και διαχειριστών θα μπορούσε να </w:t>
      </w:r>
      <w:proofErr w:type="spellStart"/>
      <w:r>
        <w:t>ποσοτικοποιήσει</w:t>
      </w:r>
      <w:proofErr w:type="spellEnd"/>
      <w:r>
        <w:t xml:space="preserve"> τη βαρύτητα των εμποδίων και την περίοδο αποπληρωμής που απαιτούν οι διάφορες ομάδες, ενώ οι συμβατικές λύσεις στο πρόβλημα των διαχωρισμένων κινήτρων, όπως ο επιμερισμός της εξοικονόμησης μεταξύ πλοιοκτήτη και ναυλωτή, θα μπορούσαν να αναλυθούν μέσω προσομοίωσης. Τέλος, η αξία του σήματος άνθρακα εξαρτάται από το εμπορικό πρότυπο, και για τα πλοία που δραστηριοποιούνται κυρίως εκτός Ευρώπης η σκοπιμότητα των WAPS εξαρτάται από τις διαπραγματεύσεις στον IMO· επομένως, αναλύσεις σεναρίων για μια παγκόσμια τιμή άνθρακα, όπως οι τιμές των μονάδων αποκατάστασης 100 </w:t>
      </w:r>
      <w:r w:rsidR="0042410A">
        <w:t xml:space="preserve">USD </w:t>
      </w:r>
      <w:r>
        <w:t xml:space="preserve">και 380 </w:t>
      </w:r>
      <w:r w:rsidR="0042410A">
        <w:t xml:space="preserve">USD </w:t>
      </w:r>
      <w:r>
        <w:t>ανά τόνο του σχεδίου Πλαισίου Μηδενικών</w:t>
      </w:r>
      <w:r w:rsidR="00DD7DA9">
        <w:t>-</w:t>
      </w:r>
      <w:r>
        <w:t>Καθαρών Εκπομπών, θα συμπλήρωναν χρήσιμα την ευρωπαϊκή ανάλυση.</w:t>
      </w:r>
    </w:p>
    <w:p w14:paraId="78EF585C" w14:textId="111DAF92" w:rsidR="00AB6F81" w:rsidRDefault="00AB6F81">
      <w:r>
        <w:br w:type="page"/>
      </w:r>
    </w:p>
    <w:p w14:paraId="5450EC14" w14:textId="77777777" w:rsidR="00547C72" w:rsidRPr="00822C2D" w:rsidRDefault="00E56BA0" w:rsidP="00EF3EE0">
      <w:pPr>
        <w:pStyle w:val="11"/>
        <w:jc w:val="both"/>
      </w:pPr>
      <w:bookmarkStart w:id="201" w:name="_Toc243355363"/>
      <w:r>
        <w:lastRenderedPageBreak/>
        <w:t>Βιβλιογραφία</w:t>
      </w:r>
      <w:bookmarkEnd w:id="201"/>
    </w:p>
    <w:p w14:paraId="07FDE972" w14:textId="77777777" w:rsidR="00C60D31" w:rsidRPr="00C60D31" w:rsidRDefault="00C60D31" w:rsidP="00444B22">
      <w:pPr>
        <w:pStyle w:val="ac"/>
        <w:spacing w:after="60"/>
        <w:rPr>
          <w:lang w:val="en-GB"/>
        </w:rPr>
      </w:pPr>
      <w:r w:rsidRPr="00C60D31">
        <w:rPr>
          <w:lang w:val="en-GB"/>
        </w:rPr>
        <w:t>[</w:t>
      </w:r>
      <w:bookmarkStart w:id="202" w:name="_Ref_cit_1"/>
      <w:r w:rsidRPr="00C60D31">
        <w:rPr>
          <w:lang w:val="en-GB"/>
        </w:rPr>
        <w:t>1</w:t>
      </w:r>
      <w:bookmarkEnd w:id="202"/>
      <w:r w:rsidRPr="00C60D31">
        <w:rPr>
          <w:lang w:val="en-GB"/>
        </w:rPr>
        <w:t>]</w:t>
      </w:r>
      <w:r w:rsidRPr="00C60D31">
        <w:rPr>
          <w:lang w:val="en-GB"/>
        </w:rPr>
        <w:tab/>
        <w:t xml:space="preserve">REVIEW OF MARITIME TRANSPORT 2025: staying the course in turbulent waters. </w:t>
      </w:r>
      <w:proofErr w:type="spellStart"/>
      <w:r w:rsidRPr="00C60D31">
        <w:rPr>
          <w:lang w:val="en-GB"/>
        </w:rPr>
        <w:t>S.l.</w:t>
      </w:r>
      <w:proofErr w:type="spellEnd"/>
      <w:r w:rsidRPr="00C60D31">
        <w:rPr>
          <w:lang w:val="en-GB"/>
        </w:rPr>
        <w:t>: UNITED NATIONS, 2026.</w:t>
      </w:r>
    </w:p>
    <w:p w14:paraId="32F161FA" w14:textId="77777777" w:rsidR="00C60D31" w:rsidRPr="00C60D31" w:rsidRDefault="00C60D31" w:rsidP="00444B22">
      <w:pPr>
        <w:pStyle w:val="ac"/>
        <w:spacing w:after="60"/>
        <w:rPr>
          <w:lang w:val="en-GB"/>
        </w:rPr>
      </w:pPr>
      <w:r w:rsidRPr="00C60D31">
        <w:rPr>
          <w:lang w:val="en-GB"/>
        </w:rPr>
        <w:t>[</w:t>
      </w:r>
      <w:bookmarkStart w:id="203" w:name="_Ref_cit_2"/>
      <w:r w:rsidRPr="00C60D31">
        <w:rPr>
          <w:lang w:val="en-GB"/>
        </w:rPr>
        <w:t>2</w:t>
      </w:r>
      <w:bookmarkEnd w:id="203"/>
      <w:r w:rsidRPr="00C60D31">
        <w:rPr>
          <w:lang w:val="en-GB"/>
        </w:rPr>
        <w:t>]</w:t>
      </w:r>
      <w:r w:rsidRPr="00C60D31">
        <w:rPr>
          <w:lang w:val="en-GB"/>
        </w:rPr>
        <w:tab/>
      </w:r>
      <w:r w:rsidRPr="00C60D31">
        <w:rPr>
          <w:i/>
          <w:iCs/>
          <w:lang w:val="en-GB"/>
        </w:rPr>
        <w:t>Navigating maritime chokepoints</w:t>
      </w:r>
      <w:r w:rsidRPr="00C60D31">
        <w:rPr>
          <w:lang w:val="en-GB"/>
        </w:rPr>
        <w:t>. in Review of maritime transport / United Nations Conference on Trade and Development, Geneva, no. 2024. New York, New York: United Nations Publications, 2024.</w:t>
      </w:r>
    </w:p>
    <w:p w14:paraId="71488A0F" w14:textId="77777777" w:rsidR="00C60D31" w:rsidRPr="00C60D31" w:rsidRDefault="00C60D31" w:rsidP="00444B22">
      <w:pPr>
        <w:pStyle w:val="ac"/>
        <w:spacing w:after="60"/>
        <w:rPr>
          <w:lang w:val="en-GB"/>
        </w:rPr>
      </w:pPr>
      <w:r w:rsidRPr="00C60D31">
        <w:rPr>
          <w:lang w:val="en-GB"/>
        </w:rPr>
        <w:t>[</w:t>
      </w:r>
      <w:bookmarkStart w:id="204" w:name="_Ref_cit_3"/>
      <w:r w:rsidRPr="00C60D31">
        <w:rPr>
          <w:lang w:val="en-GB"/>
        </w:rPr>
        <w:t>3</w:t>
      </w:r>
      <w:bookmarkEnd w:id="204"/>
      <w:r w:rsidRPr="00C60D31">
        <w:rPr>
          <w:lang w:val="en-GB"/>
        </w:rPr>
        <w:t>]</w:t>
      </w:r>
      <w:r w:rsidRPr="00C60D31">
        <w:rPr>
          <w:lang w:val="en-GB"/>
        </w:rPr>
        <w:tab/>
        <w:t>“Shipping data: UNCTAD releases new seaborne trade statistics | UN Trade and Development (UNCTAD).” Accessed: Mar. 11, 2026. [Online]. Available: https://unctad.org/news/shipping-data-unctad-releases-new-seaborne-trade-statistics</w:t>
      </w:r>
    </w:p>
    <w:p w14:paraId="06E56447" w14:textId="77777777" w:rsidR="00C60D31" w:rsidRPr="00084E49" w:rsidRDefault="00C60D31" w:rsidP="00444B22">
      <w:pPr>
        <w:pStyle w:val="ac"/>
        <w:spacing w:after="60"/>
        <w:rPr>
          <w:lang w:val="en-GB"/>
        </w:rPr>
      </w:pPr>
      <w:r w:rsidRPr="00C60D31">
        <w:rPr>
          <w:lang w:val="en-GB"/>
        </w:rPr>
        <w:t>[</w:t>
      </w:r>
      <w:bookmarkStart w:id="205" w:name="_Ref_cit_4"/>
      <w:r w:rsidRPr="00C60D31">
        <w:rPr>
          <w:lang w:val="en-GB"/>
        </w:rPr>
        <w:t>4</w:t>
      </w:r>
      <w:bookmarkEnd w:id="205"/>
      <w:r w:rsidRPr="00C60D31">
        <w:rPr>
          <w:lang w:val="en-GB"/>
        </w:rPr>
        <w:t>]</w:t>
      </w:r>
      <w:r w:rsidRPr="00C60D31">
        <w:rPr>
          <w:lang w:val="en-GB"/>
        </w:rPr>
        <w:tab/>
        <w:t xml:space="preserve">European Commission, “2024 Report from the European Commission on CO₂ Emissions from Maritime Transport,” European Commission, Brussels, </w:t>
      </w:r>
      <w:proofErr w:type="gramStart"/>
      <w:r w:rsidRPr="00C60D31">
        <w:rPr>
          <w:lang w:val="en-GB"/>
        </w:rPr>
        <w:t>SWD(</w:t>
      </w:r>
      <w:proofErr w:type="gramEnd"/>
      <w:r w:rsidRPr="00C60D31">
        <w:rPr>
          <w:lang w:val="en-GB"/>
        </w:rPr>
        <w:t xml:space="preserve">2025) 38 final, 2025. </w:t>
      </w:r>
      <w:r w:rsidRPr="00084E49">
        <w:rPr>
          <w:lang w:val="en-GB"/>
        </w:rPr>
        <w:t>[Online]. Available: https://eur-lex.europa.eu/legal-content/EN/TXT/PDF/?uri=CELEX:52025DC0039</w:t>
      </w:r>
    </w:p>
    <w:p w14:paraId="2944B0F7" w14:textId="77777777" w:rsidR="00C60D31" w:rsidRPr="00084E49" w:rsidRDefault="00C60D31" w:rsidP="00444B22">
      <w:pPr>
        <w:pStyle w:val="ac"/>
        <w:spacing w:after="60"/>
        <w:rPr>
          <w:lang w:val="en-GB"/>
        </w:rPr>
      </w:pPr>
      <w:r w:rsidRPr="00084E49">
        <w:rPr>
          <w:lang w:val="en-GB"/>
        </w:rPr>
        <w:t>[</w:t>
      </w:r>
      <w:bookmarkStart w:id="206" w:name="_Ref_cit_5"/>
      <w:r w:rsidRPr="00084E49">
        <w:rPr>
          <w:lang w:val="en-GB"/>
        </w:rPr>
        <w:t>5</w:t>
      </w:r>
      <w:bookmarkEnd w:id="206"/>
      <w:r w:rsidRPr="00084E49">
        <w:rPr>
          <w:lang w:val="en-GB"/>
        </w:rPr>
        <w:t>]</w:t>
      </w:r>
      <w:r w:rsidRPr="00084E49">
        <w:rPr>
          <w:lang w:val="en-GB"/>
        </w:rPr>
        <w:tab/>
        <w:t>Z. Ahmed, “Types of Ship Emissions,” Marine Insight. Accessed: Mar. 14, 2026. [Online]. Available: https://www.marineinsight.com/know-more/types-of-ship-emissions/</w:t>
      </w:r>
    </w:p>
    <w:p w14:paraId="4B45BDE9" w14:textId="77777777" w:rsidR="00C60D31" w:rsidRPr="00084E49" w:rsidRDefault="00C60D31" w:rsidP="00444B22">
      <w:pPr>
        <w:pStyle w:val="ac"/>
        <w:spacing w:after="60"/>
        <w:rPr>
          <w:lang w:val="en-GB"/>
        </w:rPr>
      </w:pPr>
      <w:r w:rsidRPr="00084E49">
        <w:rPr>
          <w:lang w:val="en-GB"/>
        </w:rPr>
        <w:t>[</w:t>
      </w:r>
      <w:bookmarkStart w:id="207" w:name="_Ref_cit_6"/>
      <w:r w:rsidRPr="00084E49">
        <w:rPr>
          <w:lang w:val="en-GB"/>
        </w:rPr>
        <w:t>6</w:t>
      </w:r>
      <w:bookmarkEnd w:id="207"/>
      <w:r w:rsidRPr="00084E49">
        <w:rPr>
          <w:lang w:val="en-GB"/>
        </w:rPr>
        <w:t>]</w:t>
      </w:r>
      <w:r w:rsidRPr="00084E49">
        <w:rPr>
          <w:lang w:val="en-GB"/>
        </w:rPr>
        <w:tab/>
        <w:t xml:space="preserve">Q. </w:t>
      </w:r>
      <w:proofErr w:type="spellStart"/>
      <w:r w:rsidRPr="00084E49">
        <w:rPr>
          <w:lang w:val="en-GB"/>
        </w:rPr>
        <w:t>Sakalayen</w:t>
      </w:r>
      <w:proofErr w:type="spellEnd"/>
      <w:r w:rsidRPr="00084E49">
        <w:rPr>
          <w:lang w:val="en-GB"/>
        </w:rPr>
        <w:t xml:space="preserve">, J. S. L. Lam, M. S. A. Talib, W. H. H. Sumardi, and S. Islam, “Maritime Energy Transition: Disruptive Technologies for Global Shipping Decarbonization,” </w:t>
      </w:r>
      <w:r w:rsidRPr="00084E49">
        <w:rPr>
          <w:i/>
          <w:iCs/>
          <w:lang w:val="en-GB"/>
        </w:rPr>
        <w:t>Sustainability</w:t>
      </w:r>
      <w:r w:rsidRPr="00084E49">
        <w:rPr>
          <w:lang w:val="en-GB"/>
        </w:rPr>
        <w:t xml:space="preserve">, vol. 18, no. 2, p. 763, Jan. 2026, </w:t>
      </w:r>
      <w:proofErr w:type="spellStart"/>
      <w:r w:rsidRPr="00084E49">
        <w:rPr>
          <w:lang w:val="en-GB"/>
        </w:rPr>
        <w:t>doi</w:t>
      </w:r>
      <w:proofErr w:type="spellEnd"/>
      <w:r w:rsidRPr="00084E49">
        <w:rPr>
          <w:lang w:val="en-GB"/>
        </w:rPr>
        <w:t>: 10.3390/su18020763.</w:t>
      </w:r>
    </w:p>
    <w:p w14:paraId="4D9366BD" w14:textId="77777777" w:rsidR="00C60D31" w:rsidRPr="00084E49" w:rsidRDefault="00C60D31" w:rsidP="00444B22">
      <w:pPr>
        <w:pStyle w:val="ac"/>
        <w:spacing w:after="60"/>
        <w:rPr>
          <w:lang w:val="en-GB"/>
        </w:rPr>
      </w:pPr>
      <w:r w:rsidRPr="00084E49">
        <w:rPr>
          <w:lang w:val="en-GB"/>
        </w:rPr>
        <w:t>[</w:t>
      </w:r>
      <w:bookmarkStart w:id="208" w:name="_Ref_cit_7"/>
      <w:r w:rsidRPr="00084E49">
        <w:rPr>
          <w:lang w:val="en-GB"/>
        </w:rPr>
        <w:t>7</w:t>
      </w:r>
      <w:bookmarkEnd w:id="208"/>
      <w:r w:rsidRPr="00084E49">
        <w:rPr>
          <w:lang w:val="en-GB"/>
        </w:rPr>
        <w:t>]</w:t>
      </w:r>
      <w:r w:rsidRPr="00084E49">
        <w:rPr>
          <w:lang w:val="en-GB"/>
        </w:rPr>
        <w:tab/>
        <w:t>“Review of Wind-Assisted Propulsion Systems in Maritime Transport.” Accessed: Mar. 11, 2026. [Online]. Available: https://www.mdpi.com/1996-1073/18/4/897</w:t>
      </w:r>
    </w:p>
    <w:p w14:paraId="2AD94B5C" w14:textId="77777777" w:rsidR="00C60D31" w:rsidRPr="00084E49" w:rsidRDefault="00C60D31" w:rsidP="00444B22">
      <w:pPr>
        <w:pStyle w:val="ac"/>
        <w:spacing w:after="60"/>
        <w:rPr>
          <w:lang w:val="en-GB"/>
        </w:rPr>
      </w:pPr>
      <w:r w:rsidRPr="00084E49">
        <w:rPr>
          <w:lang w:val="en-GB"/>
        </w:rPr>
        <w:t>[</w:t>
      </w:r>
      <w:bookmarkStart w:id="209" w:name="_Ref_cit_8"/>
      <w:r w:rsidRPr="00084E49">
        <w:rPr>
          <w:lang w:val="en-GB"/>
        </w:rPr>
        <w:t>8</w:t>
      </w:r>
      <w:bookmarkEnd w:id="209"/>
      <w:r w:rsidRPr="00084E49">
        <w:rPr>
          <w:lang w:val="en-GB"/>
        </w:rPr>
        <w:t>]</w:t>
      </w:r>
      <w:r w:rsidRPr="00084E49">
        <w:rPr>
          <w:lang w:val="en-GB"/>
        </w:rPr>
        <w:tab/>
        <w:t xml:space="preserve">R. Lu and J. W. </w:t>
      </w:r>
      <w:proofErr w:type="spellStart"/>
      <w:r w:rsidRPr="00084E49">
        <w:rPr>
          <w:lang w:val="en-GB"/>
        </w:rPr>
        <w:t>Ringsberg</w:t>
      </w:r>
      <w:proofErr w:type="spellEnd"/>
      <w:r w:rsidRPr="00084E49">
        <w:rPr>
          <w:lang w:val="en-GB"/>
        </w:rPr>
        <w:t xml:space="preserve">, “Ship energy performance study of three wind-assisted ship propulsion technologies including a parametric study of the </w:t>
      </w:r>
      <w:proofErr w:type="spellStart"/>
      <w:r w:rsidRPr="00084E49">
        <w:rPr>
          <w:lang w:val="en-GB"/>
        </w:rPr>
        <w:t>Flettner</w:t>
      </w:r>
      <w:proofErr w:type="spellEnd"/>
      <w:r w:rsidRPr="00084E49">
        <w:rPr>
          <w:lang w:val="en-GB"/>
        </w:rPr>
        <w:t xml:space="preserve"> rotor technology,” </w:t>
      </w:r>
      <w:r w:rsidRPr="00084E49">
        <w:rPr>
          <w:i/>
          <w:iCs/>
          <w:lang w:val="en-GB"/>
        </w:rPr>
        <w:t>Ships Offshore Struct.</w:t>
      </w:r>
      <w:r w:rsidRPr="00084E49">
        <w:rPr>
          <w:lang w:val="en-GB"/>
        </w:rPr>
        <w:t xml:space="preserve">, vol. 15, no. 3, pp. 249–258, Mar. 2020, </w:t>
      </w:r>
      <w:proofErr w:type="spellStart"/>
      <w:r w:rsidRPr="00084E49">
        <w:rPr>
          <w:lang w:val="en-GB"/>
        </w:rPr>
        <w:t>doi</w:t>
      </w:r>
      <w:proofErr w:type="spellEnd"/>
      <w:r w:rsidRPr="00084E49">
        <w:rPr>
          <w:lang w:val="en-GB"/>
        </w:rPr>
        <w:t>: 10.1080/17445302.2019.1612544.</w:t>
      </w:r>
    </w:p>
    <w:p w14:paraId="6D2CD512" w14:textId="77777777" w:rsidR="00C60D31" w:rsidRPr="00084E49" w:rsidRDefault="00C60D31" w:rsidP="00444B22">
      <w:pPr>
        <w:pStyle w:val="ac"/>
        <w:spacing w:after="60"/>
        <w:rPr>
          <w:lang w:val="en-GB"/>
        </w:rPr>
      </w:pPr>
      <w:r w:rsidRPr="00084E49">
        <w:rPr>
          <w:lang w:val="en-GB"/>
        </w:rPr>
        <w:t>[</w:t>
      </w:r>
      <w:bookmarkStart w:id="210" w:name="_Ref_cit_9"/>
      <w:r w:rsidRPr="00084E49">
        <w:rPr>
          <w:lang w:val="en-GB"/>
        </w:rPr>
        <w:t>9</w:t>
      </w:r>
      <w:bookmarkEnd w:id="210"/>
      <w:r w:rsidRPr="00084E49">
        <w:rPr>
          <w:lang w:val="en-GB"/>
        </w:rPr>
        <w:t>]</w:t>
      </w:r>
      <w:r w:rsidRPr="00084E49">
        <w:rPr>
          <w:lang w:val="en-GB"/>
        </w:rPr>
        <w:tab/>
        <w:t xml:space="preserve">“MEPC 80-17-Add.1 - Report </w:t>
      </w:r>
      <w:proofErr w:type="gramStart"/>
      <w:r w:rsidRPr="00084E49">
        <w:rPr>
          <w:lang w:val="en-GB"/>
        </w:rPr>
        <w:t>Of</w:t>
      </w:r>
      <w:proofErr w:type="gramEnd"/>
      <w:r w:rsidRPr="00084E49">
        <w:rPr>
          <w:lang w:val="en-GB"/>
        </w:rPr>
        <w:t xml:space="preserve"> </w:t>
      </w:r>
      <w:proofErr w:type="gramStart"/>
      <w:r w:rsidRPr="00084E49">
        <w:rPr>
          <w:lang w:val="en-GB"/>
        </w:rPr>
        <w:t>The</w:t>
      </w:r>
      <w:proofErr w:type="gramEnd"/>
      <w:r w:rsidRPr="00084E49">
        <w:rPr>
          <w:lang w:val="en-GB"/>
        </w:rPr>
        <w:t xml:space="preserve"> Marine Environment Protection </w:t>
      </w:r>
      <w:proofErr w:type="spellStart"/>
      <w:r w:rsidRPr="00084E49">
        <w:rPr>
          <w:lang w:val="en-GB"/>
        </w:rPr>
        <w:t>CommitteeOn</w:t>
      </w:r>
      <w:proofErr w:type="spellEnd"/>
      <w:r w:rsidRPr="00084E49">
        <w:rPr>
          <w:lang w:val="en-GB"/>
        </w:rPr>
        <w:t xml:space="preserve"> Its Eightieth Session (Secretariat).” Accessed: Mar. 10, 2026. [Online]. Available: https://wwwcdn.imo.org/localresources/en/OurWork/Environment/Documents/annex/MEPC%2080/Annex%2015.pdf</w:t>
      </w:r>
    </w:p>
    <w:p w14:paraId="6BF70CC5" w14:textId="77777777" w:rsidR="00C60D31" w:rsidRPr="00084E49" w:rsidRDefault="00C60D31" w:rsidP="00444B22">
      <w:pPr>
        <w:pStyle w:val="ac"/>
        <w:spacing w:after="60"/>
        <w:rPr>
          <w:lang w:val="en-GB"/>
        </w:rPr>
      </w:pPr>
      <w:r w:rsidRPr="00084E49">
        <w:rPr>
          <w:lang w:val="en-GB"/>
        </w:rPr>
        <w:t>[</w:t>
      </w:r>
      <w:bookmarkStart w:id="211" w:name="_Ref_cit_10"/>
      <w:r w:rsidRPr="00084E49">
        <w:rPr>
          <w:lang w:val="en-GB"/>
        </w:rPr>
        <w:t>10</w:t>
      </w:r>
      <w:bookmarkEnd w:id="211"/>
      <w:r w:rsidRPr="00084E49">
        <w:rPr>
          <w:lang w:val="en-GB"/>
        </w:rPr>
        <w:t>]</w:t>
      </w:r>
      <w:r w:rsidRPr="00084E49">
        <w:rPr>
          <w:lang w:val="en-GB"/>
        </w:rPr>
        <w:tab/>
        <w:t>“Marine Environment Protection Committee (MEPC 83), 7 to 11 April 2025.” Accessed: Mar. 14, 2026. [Online]. Available: https://www.imo.org/en/mediacentre/meetingsummaries/pages/mepc-83rd-session.aspx</w:t>
      </w:r>
    </w:p>
    <w:p w14:paraId="7FB1DDDE" w14:textId="77777777" w:rsidR="00C60D31" w:rsidRPr="00084E49" w:rsidRDefault="00C60D31" w:rsidP="00444B22">
      <w:pPr>
        <w:pStyle w:val="ac"/>
        <w:spacing w:after="60"/>
        <w:rPr>
          <w:lang w:val="en-GB"/>
        </w:rPr>
      </w:pPr>
      <w:r w:rsidRPr="00084E49">
        <w:rPr>
          <w:lang w:val="en-GB"/>
        </w:rPr>
        <w:t>[</w:t>
      </w:r>
      <w:bookmarkStart w:id="212" w:name="_Ref_cit_11"/>
      <w:r w:rsidRPr="00084E49">
        <w:rPr>
          <w:lang w:val="en-GB"/>
        </w:rPr>
        <w:t>11</w:t>
      </w:r>
      <w:bookmarkEnd w:id="212"/>
      <w:r w:rsidRPr="00084E49">
        <w:rPr>
          <w:lang w:val="en-GB"/>
        </w:rPr>
        <w:t>]</w:t>
      </w:r>
      <w:r w:rsidRPr="00084E49">
        <w:rPr>
          <w:lang w:val="en-GB"/>
        </w:rPr>
        <w:tab/>
        <w:t xml:space="preserve">L. P. Perera and B. Mo, “Emission </w:t>
      </w:r>
      <w:proofErr w:type="gramStart"/>
      <w:r w:rsidRPr="00084E49">
        <w:rPr>
          <w:lang w:val="en-GB"/>
        </w:rPr>
        <w:t>control based</w:t>
      </w:r>
      <w:proofErr w:type="gramEnd"/>
      <w:r w:rsidRPr="00084E49">
        <w:rPr>
          <w:lang w:val="en-GB"/>
        </w:rPr>
        <w:t xml:space="preserve"> energy efficiency measures in ship operations,” </w:t>
      </w:r>
      <w:r w:rsidRPr="00084E49">
        <w:rPr>
          <w:i/>
          <w:iCs/>
          <w:lang w:val="en-GB"/>
        </w:rPr>
        <w:t>Appl. Ocean Res.</w:t>
      </w:r>
      <w:r w:rsidRPr="00084E49">
        <w:rPr>
          <w:lang w:val="en-GB"/>
        </w:rPr>
        <w:t xml:space="preserve">, vol. 60, pp. 29–46, Oct. 2016, </w:t>
      </w:r>
      <w:proofErr w:type="spellStart"/>
      <w:r w:rsidRPr="00084E49">
        <w:rPr>
          <w:lang w:val="en-GB"/>
        </w:rPr>
        <w:t>doi</w:t>
      </w:r>
      <w:proofErr w:type="spellEnd"/>
      <w:r w:rsidRPr="00084E49">
        <w:rPr>
          <w:lang w:val="en-GB"/>
        </w:rPr>
        <w:t>: 10.1016/j.apor.2016.08.006.</w:t>
      </w:r>
    </w:p>
    <w:p w14:paraId="65999B09" w14:textId="77777777" w:rsidR="00C60D31" w:rsidRPr="00084E49" w:rsidRDefault="00C60D31" w:rsidP="00444B22">
      <w:pPr>
        <w:pStyle w:val="ac"/>
        <w:spacing w:after="60"/>
        <w:rPr>
          <w:lang w:val="en-GB"/>
        </w:rPr>
      </w:pPr>
      <w:r w:rsidRPr="00084E49">
        <w:rPr>
          <w:lang w:val="en-GB"/>
        </w:rPr>
        <w:t>[</w:t>
      </w:r>
      <w:bookmarkStart w:id="213" w:name="_Ref_cit_12"/>
      <w:r w:rsidRPr="00084E49">
        <w:rPr>
          <w:lang w:val="en-GB"/>
        </w:rPr>
        <w:t>12</w:t>
      </w:r>
      <w:bookmarkEnd w:id="213"/>
      <w:r w:rsidRPr="00084E49">
        <w:rPr>
          <w:lang w:val="en-GB"/>
        </w:rPr>
        <w:t>]</w:t>
      </w:r>
      <w:r w:rsidRPr="00084E49">
        <w:rPr>
          <w:lang w:val="en-GB"/>
        </w:rPr>
        <w:tab/>
        <w:t xml:space="preserve">E. A. Bouman, E. Lindstad, A. I. </w:t>
      </w:r>
      <w:proofErr w:type="spellStart"/>
      <w:r w:rsidRPr="00084E49">
        <w:rPr>
          <w:lang w:val="en-GB"/>
        </w:rPr>
        <w:t>Rialland</w:t>
      </w:r>
      <w:proofErr w:type="spellEnd"/>
      <w:r w:rsidRPr="00084E49">
        <w:rPr>
          <w:lang w:val="en-GB"/>
        </w:rPr>
        <w:t xml:space="preserve">, and A. H. </w:t>
      </w:r>
      <w:proofErr w:type="spellStart"/>
      <w:r w:rsidRPr="00084E49">
        <w:rPr>
          <w:lang w:val="en-GB"/>
        </w:rPr>
        <w:t>Strømman</w:t>
      </w:r>
      <w:proofErr w:type="spellEnd"/>
      <w:r w:rsidRPr="00084E49">
        <w:rPr>
          <w:lang w:val="en-GB"/>
        </w:rPr>
        <w:t xml:space="preserve">, “State-of-the-art technologies, measures, and potential for reducing GHG emissions from shipping – A review,” </w:t>
      </w:r>
      <w:r w:rsidRPr="00084E49">
        <w:rPr>
          <w:i/>
          <w:iCs/>
          <w:lang w:val="en-GB"/>
        </w:rPr>
        <w:t>Transp. Res. Part Transp. Environ.</w:t>
      </w:r>
      <w:r w:rsidRPr="00084E49">
        <w:rPr>
          <w:lang w:val="en-GB"/>
        </w:rPr>
        <w:t xml:space="preserve">, vol. 52, pp. 408–421, May 2017, </w:t>
      </w:r>
      <w:proofErr w:type="spellStart"/>
      <w:r w:rsidRPr="00084E49">
        <w:rPr>
          <w:lang w:val="en-GB"/>
        </w:rPr>
        <w:t>doi</w:t>
      </w:r>
      <w:proofErr w:type="spellEnd"/>
      <w:r w:rsidRPr="00084E49">
        <w:rPr>
          <w:lang w:val="en-GB"/>
        </w:rPr>
        <w:t>: 10.1016/j.trd.2017.03.022.</w:t>
      </w:r>
    </w:p>
    <w:p w14:paraId="50DD9F2E" w14:textId="77777777" w:rsidR="00C60D31" w:rsidRPr="00084E49" w:rsidRDefault="00C60D31" w:rsidP="00444B22">
      <w:pPr>
        <w:pStyle w:val="ac"/>
        <w:spacing w:after="60"/>
        <w:rPr>
          <w:lang w:val="en-GB"/>
        </w:rPr>
      </w:pPr>
      <w:r w:rsidRPr="00084E49">
        <w:rPr>
          <w:lang w:val="en-GB"/>
        </w:rPr>
        <w:lastRenderedPageBreak/>
        <w:t>[</w:t>
      </w:r>
      <w:bookmarkStart w:id="214" w:name="_Ref_cit_13"/>
      <w:r w:rsidRPr="00084E49">
        <w:rPr>
          <w:lang w:val="en-GB"/>
        </w:rPr>
        <w:t>13</w:t>
      </w:r>
      <w:bookmarkEnd w:id="214"/>
      <w:r w:rsidRPr="00084E49">
        <w:rPr>
          <w:lang w:val="en-GB"/>
        </w:rPr>
        <w:t>]</w:t>
      </w:r>
      <w:r w:rsidRPr="00084E49">
        <w:rPr>
          <w:lang w:val="en-GB"/>
        </w:rPr>
        <w:tab/>
        <w:t>“EEXI and CII - ship carbon intensity and rating system.” Accessed: Mar. 14, 2026. [Online]. Available: https://www.imo.org/en/mediacentre/hottopics/pages/eexi-cii-faq.aspx</w:t>
      </w:r>
    </w:p>
    <w:p w14:paraId="61308BAA" w14:textId="77777777" w:rsidR="00C60D31" w:rsidRPr="00084E49" w:rsidRDefault="00C60D31" w:rsidP="00444B22">
      <w:pPr>
        <w:pStyle w:val="ac"/>
        <w:spacing w:after="60"/>
        <w:rPr>
          <w:lang w:val="en-GB"/>
        </w:rPr>
      </w:pPr>
      <w:r w:rsidRPr="00084E49">
        <w:rPr>
          <w:lang w:val="en-GB"/>
        </w:rPr>
        <w:t>[</w:t>
      </w:r>
      <w:bookmarkStart w:id="215" w:name="_Ref_cit_14"/>
      <w:r w:rsidRPr="00084E49">
        <w:rPr>
          <w:lang w:val="en-GB"/>
        </w:rPr>
        <w:t>14</w:t>
      </w:r>
      <w:bookmarkEnd w:id="215"/>
      <w:r w:rsidRPr="00084E49">
        <w:rPr>
          <w:lang w:val="en-GB"/>
        </w:rPr>
        <w:t>]</w:t>
      </w:r>
      <w:r w:rsidRPr="00084E49">
        <w:rPr>
          <w:lang w:val="en-GB"/>
        </w:rPr>
        <w:tab/>
        <w:t>“MEPC.346(78).pdf.” Accessed: Mar. 16, 2026. [Online]. Available: https://wwwcdn.imo.org/localresources/en/OurWork/Environment/Documents/Air%20pollution/MEPC.346%2878%29.pdf</w:t>
      </w:r>
    </w:p>
    <w:p w14:paraId="1E6ADE70" w14:textId="77777777" w:rsidR="00C60D31" w:rsidRPr="00084E49" w:rsidRDefault="00C60D31" w:rsidP="00444B22">
      <w:pPr>
        <w:pStyle w:val="ac"/>
        <w:spacing w:after="60"/>
        <w:rPr>
          <w:lang w:val="en-GB"/>
        </w:rPr>
      </w:pPr>
      <w:r w:rsidRPr="00084E49">
        <w:rPr>
          <w:lang w:val="en-GB"/>
        </w:rPr>
        <w:t>[</w:t>
      </w:r>
      <w:bookmarkStart w:id="216" w:name="_Ref_cit_15"/>
      <w:r w:rsidRPr="00084E49">
        <w:rPr>
          <w:lang w:val="en-GB"/>
        </w:rPr>
        <w:t>15</w:t>
      </w:r>
      <w:bookmarkEnd w:id="216"/>
      <w:r w:rsidRPr="00084E49">
        <w:rPr>
          <w:lang w:val="en-GB"/>
        </w:rPr>
        <w:t>]</w:t>
      </w:r>
      <w:r w:rsidRPr="00084E49">
        <w:rPr>
          <w:lang w:val="en-GB"/>
        </w:rPr>
        <w:tab/>
        <w:t>“SEEMP Part III | Lloyd’s Register | LR.” Accessed: Mar. 16, 2026. [Online]. Available: https://www.lr.org/en/services/statutory-compliance/marpol-international-convention-for-the-prevention-of-pollution/seemp-part-iii-ship-energy-efficiency/</w:t>
      </w:r>
    </w:p>
    <w:p w14:paraId="04E434D3" w14:textId="77777777" w:rsidR="00C60D31" w:rsidRPr="00084E49" w:rsidRDefault="00C60D31" w:rsidP="00444B22">
      <w:pPr>
        <w:pStyle w:val="ac"/>
        <w:spacing w:after="60"/>
        <w:rPr>
          <w:lang w:val="en-GB"/>
        </w:rPr>
      </w:pPr>
      <w:r w:rsidRPr="00084E49">
        <w:rPr>
          <w:lang w:val="en-GB"/>
        </w:rPr>
        <w:t>[</w:t>
      </w:r>
      <w:bookmarkStart w:id="217" w:name="_Ref_cit_16"/>
      <w:r w:rsidRPr="00084E49">
        <w:rPr>
          <w:lang w:val="en-GB"/>
        </w:rPr>
        <w:t>16</w:t>
      </w:r>
      <w:bookmarkEnd w:id="217"/>
      <w:r w:rsidRPr="00084E49">
        <w:rPr>
          <w:lang w:val="en-GB"/>
        </w:rPr>
        <w:t>]</w:t>
      </w:r>
      <w:r w:rsidRPr="00084E49">
        <w:rPr>
          <w:lang w:val="en-GB"/>
        </w:rPr>
        <w:tab/>
        <w:t xml:space="preserve">K. Kim, G. Roh, W. Kim, and K. Chun, “A Preliminary Study on an Alternative Ship Propulsion System </w:t>
      </w:r>
      <w:proofErr w:type="spellStart"/>
      <w:r w:rsidRPr="00084E49">
        <w:rPr>
          <w:lang w:val="en-GB"/>
        </w:rPr>
        <w:t>Fueled</w:t>
      </w:r>
      <w:proofErr w:type="spellEnd"/>
      <w:r w:rsidRPr="00084E49">
        <w:rPr>
          <w:lang w:val="en-GB"/>
        </w:rPr>
        <w:t xml:space="preserve"> by Ammonia: Environmental and Economic Assessments,” </w:t>
      </w:r>
      <w:r w:rsidRPr="00084E49">
        <w:rPr>
          <w:i/>
          <w:iCs/>
          <w:lang w:val="en-GB"/>
        </w:rPr>
        <w:t>J. Mar. Sci. Eng.</w:t>
      </w:r>
      <w:r w:rsidRPr="00084E49">
        <w:rPr>
          <w:lang w:val="en-GB"/>
        </w:rPr>
        <w:t xml:space="preserve">, vol. 8, no. 3, p. 183, Mar. 2020, </w:t>
      </w:r>
      <w:proofErr w:type="spellStart"/>
      <w:r w:rsidRPr="00084E49">
        <w:rPr>
          <w:lang w:val="en-GB"/>
        </w:rPr>
        <w:t>doi</w:t>
      </w:r>
      <w:proofErr w:type="spellEnd"/>
      <w:r w:rsidRPr="00084E49">
        <w:rPr>
          <w:lang w:val="en-GB"/>
        </w:rPr>
        <w:t>: 10.3390/jmse8030183.</w:t>
      </w:r>
    </w:p>
    <w:p w14:paraId="41CB36BA" w14:textId="77777777" w:rsidR="00C60D31" w:rsidRPr="00084E49" w:rsidRDefault="00C60D31" w:rsidP="00444B22">
      <w:pPr>
        <w:pStyle w:val="ac"/>
        <w:spacing w:after="60"/>
        <w:rPr>
          <w:lang w:val="en-GB"/>
        </w:rPr>
      </w:pPr>
      <w:r w:rsidRPr="00084E49">
        <w:rPr>
          <w:lang w:val="en-GB"/>
        </w:rPr>
        <w:t>[</w:t>
      </w:r>
      <w:bookmarkStart w:id="218" w:name="_Ref_cit_17"/>
      <w:r w:rsidRPr="00084E49">
        <w:rPr>
          <w:lang w:val="en-GB"/>
        </w:rPr>
        <w:t>17</w:t>
      </w:r>
      <w:bookmarkEnd w:id="218"/>
      <w:r w:rsidRPr="00084E49">
        <w:rPr>
          <w:lang w:val="en-GB"/>
        </w:rPr>
        <w:t>]</w:t>
      </w:r>
      <w:r w:rsidRPr="00084E49">
        <w:rPr>
          <w:lang w:val="en-GB"/>
        </w:rPr>
        <w:tab/>
        <w:t xml:space="preserve">H. Liu </w:t>
      </w:r>
      <w:r w:rsidRPr="00084E49">
        <w:rPr>
          <w:i/>
          <w:iCs/>
          <w:lang w:val="en-GB"/>
        </w:rPr>
        <w:t>et al.</w:t>
      </w:r>
      <w:r w:rsidRPr="00084E49">
        <w:rPr>
          <w:lang w:val="en-GB"/>
        </w:rPr>
        <w:t xml:space="preserve">, “A Perspective on the Overarching Role of Hydrogen, Ammonia, and Methanol Carbon-Neutral Fuels towards Net Zero Emission in the Next Three Decades,” </w:t>
      </w:r>
      <w:r w:rsidRPr="00084E49">
        <w:rPr>
          <w:i/>
          <w:iCs/>
          <w:lang w:val="en-GB"/>
        </w:rPr>
        <w:t>Energies</w:t>
      </w:r>
      <w:r w:rsidRPr="00084E49">
        <w:rPr>
          <w:lang w:val="en-GB"/>
        </w:rPr>
        <w:t xml:space="preserve">, vol. 16, no. 1, p. 280, Dec. 2022, </w:t>
      </w:r>
      <w:proofErr w:type="spellStart"/>
      <w:r w:rsidRPr="00084E49">
        <w:rPr>
          <w:lang w:val="en-GB"/>
        </w:rPr>
        <w:t>doi</w:t>
      </w:r>
      <w:proofErr w:type="spellEnd"/>
      <w:r w:rsidRPr="00084E49">
        <w:rPr>
          <w:lang w:val="en-GB"/>
        </w:rPr>
        <w:t>: 10.3390/en16010280.</w:t>
      </w:r>
    </w:p>
    <w:p w14:paraId="2BFF60A1" w14:textId="77777777" w:rsidR="00C60D31" w:rsidRPr="00084E49" w:rsidRDefault="00C60D31" w:rsidP="00444B22">
      <w:pPr>
        <w:pStyle w:val="ac"/>
        <w:spacing w:after="60"/>
        <w:rPr>
          <w:lang w:val="en-GB"/>
        </w:rPr>
      </w:pPr>
      <w:r w:rsidRPr="00084E49">
        <w:rPr>
          <w:lang w:val="en-GB"/>
        </w:rPr>
        <w:t>[</w:t>
      </w:r>
      <w:bookmarkStart w:id="219" w:name="_Ref_cit_18"/>
      <w:r w:rsidRPr="00084E49">
        <w:rPr>
          <w:lang w:val="en-GB"/>
        </w:rPr>
        <w:t>18</w:t>
      </w:r>
      <w:bookmarkEnd w:id="219"/>
      <w:r w:rsidRPr="00084E49">
        <w:rPr>
          <w:lang w:val="en-GB"/>
        </w:rPr>
        <w:t>]</w:t>
      </w:r>
      <w:r w:rsidRPr="00084E49">
        <w:rPr>
          <w:lang w:val="en-GB"/>
        </w:rPr>
        <w:tab/>
        <w:t>F. Y. Al-</w:t>
      </w:r>
      <w:proofErr w:type="spellStart"/>
      <w:r w:rsidRPr="00084E49">
        <w:rPr>
          <w:lang w:val="en-GB"/>
        </w:rPr>
        <w:t>Aboosi</w:t>
      </w:r>
      <w:proofErr w:type="spellEnd"/>
      <w:r w:rsidRPr="00084E49">
        <w:rPr>
          <w:lang w:val="en-GB"/>
        </w:rPr>
        <w:t xml:space="preserve">, M. M. El-Halwagi, M. Moore, and R. B. Nielsen, “Renewable ammonia as an alternative fuel for the shipping industry,” </w:t>
      </w:r>
      <w:r w:rsidRPr="00084E49">
        <w:rPr>
          <w:i/>
          <w:iCs/>
          <w:lang w:val="en-GB"/>
        </w:rPr>
        <w:t xml:space="preserve">Curr. </w:t>
      </w:r>
      <w:proofErr w:type="spellStart"/>
      <w:r w:rsidRPr="00084E49">
        <w:rPr>
          <w:i/>
          <w:iCs/>
          <w:lang w:val="en-GB"/>
        </w:rPr>
        <w:t>Opin</w:t>
      </w:r>
      <w:proofErr w:type="spellEnd"/>
      <w:r w:rsidRPr="00084E49">
        <w:rPr>
          <w:i/>
          <w:iCs/>
          <w:lang w:val="en-GB"/>
        </w:rPr>
        <w:t>. Chem. Eng.</w:t>
      </w:r>
      <w:r w:rsidRPr="00084E49">
        <w:rPr>
          <w:lang w:val="en-GB"/>
        </w:rPr>
        <w:t xml:space="preserve">, vol. 31, p. 100670, Mar. 2021, </w:t>
      </w:r>
      <w:proofErr w:type="spellStart"/>
      <w:r w:rsidRPr="00084E49">
        <w:rPr>
          <w:lang w:val="en-GB"/>
        </w:rPr>
        <w:t>doi</w:t>
      </w:r>
      <w:proofErr w:type="spellEnd"/>
      <w:r w:rsidRPr="00084E49">
        <w:rPr>
          <w:lang w:val="en-GB"/>
        </w:rPr>
        <w:t>: 10.1016/j.coche.2021.100670.</w:t>
      </w:r>
    </w:p>
    <w:p w14:paraId="7F2AB8E8" w14:textId="77777777" w:rsidR="00C60D31" w:rsidRPr="00084E49" w:rsidRDefault="00C60D31" w:rsidP="00444B22">
      <w:pPr>
        <w:pStyle w:val="ac"/>
        <w:spacing w:after="60"/>
        <w:rPr>
          <w:lang w:val="en-GB"/>
        </w:rPr>
      </w:pPr>
      <w:r w:rsidRPr="00084E49">
        <w:rPr>
          <w:lang w:val="en-GB"/>
        </w:rPr>
        <w:t>[</w:t>
      </w:r>
      <w:bookmarkStart w:id="220" w:name="_Ref_cit_19"/>
      <w:r w:rsidRPr="00084E49">
        <w:rPr>
          <w:lang w:val="en-GB"/>
        </w:rPr>
        <w:t>19</w:t>
      </w:r>
      <w:bookmarkEnd w:id="220"/>
      <w:r w:rsidRPr="00084E49">
        <w:rPr>
          <w:lang w:val="en-GB"/>
        </w:rPr>
        <w:t>]</w:t>
      </w:r>
      <w:r w:rsidRPr="00084E49">
        <w:rPr>
          <w:lang w:val="en-GB"/>
        </w:rPr>
        <w:tab/>
        <w:t xml:space="preserve">C. Zamfirescu and I. Dincer, “Using ammonia as a sustainable fuel,” </w:t>
      </w:r>
      <w:r w:rsidRPr="00084E49">
        <w:rPr>
          <w:i/>
          <w:iCs/>
          <w:lang w:val="en-GB"/>
        </w:rPr>
        <w:t>J. Power Sources</w:t>
      </w:r>
      <w:r w:rsidRPr="00084E49">
        <w:rPr>
          <w:lang w:val="en-GB"/>
        </w:rPr>
        <w:t xml:space="preserve">, vol. 185, no. 1, pp. 459–465, Oct. 2008, </w:t>
      </w:r>
      <w:proofErr w:type="spellStart"/>
      <w:r w:rsidRPr="00084E49">
        <w:rPr>
          <w:lang w:val="en-GB"/>
        </w:rPr>
        <w:t>doi</w:t>
      </w:r>
      <w:proofErr w:type="spellEnd"/>
      <w:r w:rsidRPr="00084E49">
        <w:rPr>
          <w:lang w:val="en-GB"/>
        </w:rPr>
        <w:t>: 10.1016/j.jpowsour.2008.02.097.</w:t>
      </w:r>
    </w:p>
    <w:p w14:paraId="250493DE" w14:textId="77777777" w:rsidR="00C60D31" w:rsidRPr="00084E49" w:rsidRDefault="00C60D31" w:rsidP="00444B22">
      <w:pPr>
        <w:pStyle w:val="ac"/>
        <w:spacing w:after="60"/>
        <w:rPr>
          <w:lang w:val="en-GB"/>
        </w:rPr>
      </w:pPr>
      <w:r w:rsidRPr="00084E49">
        <w:rPr>
          <w:lang w:val="en-GB"/>
        </w:rPr>
        <w:t>[</w:t>
      </w:r>
      <w:bookmarkStart w:id="221" w:name="_Ref_cit_20"/>
      <w:r w:rsidRPr="00084E49">
        <w:rPr>
          <w:lang w:val="en-GB"/>
        </w:rPr>
        <w:t>20</w:t>
      </w:r>
      <w:bookmarkEnd w:id="221"/>
      <w:r w:rsidRPr="00084E49">
        <w:rPr>
          <w:lang w:val="en-GB"/>
        </w:rPr>
        <w:t>]</w:t>
      </w:r>
      <w:r w:rsidRPr="00084E49">
        <w:rPr>
          <w:lang w:val="en-GB"/>
        </w:rPr>
        <w:tab/>
        <w:t>C. Raucci, “The potential of hydrogen to fuel international shipping”.</w:t>
      </w:r>
    </w:p>
    <w:p w14:paraId="3BA98197" w14:textId="77777777" w:rsidR="00C60D31" w:rsidRPr="00084E49" w:rsidRDefault="00C60D31" w:rsidP="00444B22">
      <w:pPr>
        <w:pStyle w:val="ac"/>
        <w:spacing w:after="60"/>
        <w:rPr>
          <w:lang w:val="en-GB"/>
        </w:rPr>
      </w:pPr>
      <w:r w:rsidRPr="00084E49">
        <w:rPr>
          <w:lang w:val="en-GB"/>
        </w:rPr>
        <w:t>[</w:t>
      </w:r>
      <w:bookmarkStart w:id="222" w:name="_Ref_cit_21"/>
      <w:r w:rsidRPr="00084E49">
        <w:rPr>
          <w:lang w:val="en-GB"/>
        </w:rPr>
        <w:t>21</w:t>
      </w:r>
      <w:bookmarkEnd w:id="222"/>
      <w:r w:rsidRPr="00084E49">
        <w:rPr>
          <w:lang w:val="en-GB"/>
        </w:rPr>
        <w:t>]</w:t>
      </w:r>
      <w:r w:rsidRPr="00084E49">
        <w:rPr>
          <w:lang w:val="en-GB"/>
        </w:rPr>
        <w:tab/>
        <w:t xml:space="preserve">M. Z. </w:t>
      </w:r>
      <w:proofErr w:type="spellStart"/>
      <w:r w:rsidRPr="00084E49">
        <w:rPr>
          <w:lang w:val="en-GB"/>
        </w:rPr>
        <w:t>Sogut</w:t>
      </w:r>
      <w:proofErr w:type="spellEnd"/>
      <w:r w:rsidRPr="00084E49">
        <w:rPr>
          <w:lang w:val="en-GB"/>
        </w:rPr>
        <w:t xml:space="preserve">, “Environmental assessment of hydrogen supplement on shipping decarbonization role for container ships,” </w:t>
      </w:r>
      <w:r w:rsidRPr="00084E49">
        <w:rPr>
          <w:i/>
          <w:iCs/>
          <w:lang w:val="en-GB"/>
        </w:rPr>
        <w:t xml:space="preserve">Int. J. </w:t>
      </w:r>
      <w:proofErr w:type="spellStart"/>
      <w:r w:rsidRPr="00084E49">
        <w:rPr>
          <w:i/>
          <w:iCs/>
          <w:lang w:val="en-GB"/>
        </w:rPr>
        <w:t>Hydrog</w:t>
      </w:r>
      <w:proofErr w:type="spellEnd"/>
      <w:r w:rsidRPr="00084E49">
        <w:rPr>
          <w:i/>
          <w:iCs/>
          <w:lang w:val="en-GB"/>
        </w:rPr>
        <w:t>. Energy</w:t>
      </w:r>
      <w:r w:rsidRPr="00084E49">
        <w:rPr>
          <w:lang w:val="en-GB"/>
        </w:rPr>
        <w:t xml:space="preserve">, vol. 207, p. 153489, Feb. 2026, </w:t>
      </w:r>
      <w:proofErr w:type="spellStart"/>
      <w:r w:rsidRPr="00084E49">
        <w:rPr>
          <w:lang w:val="en-GB"/>
        </w:rPr>
        <w:t>doi</w:t>
      </w:r>
      <w:proofErr w:type="spellEnd"/>
      <w:r w:rsidRPr="00084E49">
        <w:rPr>
          <w:lang w:val="en-GB"/>
        </w:rPr>
        <w:t>: 10.1016/j.ijhydene.2026.153489.</w:t>
      </w:r>
    </w:p>
    <w:p w14:paraId="70DD64CE" w14:textId="77777777" w:rsidR="00C60D31" w:rsidRPr="00084E49" w:rsidRDefault="00C60D31" w:rsidP="00444B22">
      <w:pPr>
        <w:pStyle w:val="ac"/>
        <w:spacing w:after="60"/>
        <w:rPr>
          <w:lang w:val="en-GB"/>
        </w:rPr>
      </w:pPr>
      <w:r w:rsidRPr="00084E49">
        <w:rPr>
          <w:lang w:val="en-GB"/>
        </w:rPr>
        <w:t>[</w:t>
      </w:r>
      <w:bookmarkStart w:id="223" w:name="_Ref_cit_22"/>
      <w:r w:rsidRPr="00084E49">
        <w:rPr>
          <w:lang w:val="en-GB"/>
        </w:rPr>
        <w:t>22</w:t>
      </w:r>
      <w:bookmarkEnd w:id="223"/>
      <w:r w:rsidRPr="00084E49">
        <w:rPr>
          <w:lang w:val="en-GB"/>
        </w:rPr>
        <w:t>]</w:t>
      </w:r>
      <w:r w:rsidRPr="00084E49">
        <w:rPr>
          <w:lang w:val="en-GB"/>
        </w:rPr>
        <w:tab/>
        <w:t xml:space="preserve">S. Ha, H. Jang, C. Park, and B. Jeong, “A prospective life cycle assessment framework for sustainable renewable fuels in international shipping: Hydrogen based e fuels,” </w:t>
      </w:r>
      <w:r w:rsidRPr="00084E49">
        <w:rPr>
          <w:i/>
          <w:iCs/>
          <w:lang w:val="en-GB"/>
        </w:rPr>
        <w:t>Renew. Sustain. Energy Rev.</w:t>
      </w:r>
      <w:r w:rsidRPr="00084E49">
        <w:rPr>
          <w:lang w:val="en-GB"/>
        </w:rPr>
        <w:t xml:space="preserve">, vol. 226, p. 116219, Jan. 2026, </w:t>
      </w:r>
      <w:proofErr w:type="spellStart"/>
      <w:r w:rsidRPr="00084E49">
        <w:rPr>
          <w:lang w:val="en-GB"/>
        </w:rPr>
        <w:t>doi</w:t>
      </w:r>
      <w:proofErr w:type="spellEnd"/>
      <w:r w:rsidRPr="00084E49">
        <w:rPr>
          <w:lang w:val="en-GB"/>
        </w:rPr>
        <w:t>: 10.1016/j.rser.2025.116219.</w:t>
      </w:r>
    </w:p>
    <w:p w14:paraId="787122B3" w14:textId="77777777" w:rsidR="00C60D31" w:rsidRPr="00084E49" w:rsidRDefault="00C60D31" w:rsidP="00444B22">
      <w:pPr>
        <w:pStyle w:val="ac"/>
        <w:spacing w:after="60"/>
        <w:rPr>
          <w:lang w:val="en-GB"/>
        </w:rPr>
      </w:pPr>
      <w:r w:rsidRPr="00084E49">
        <w:rPr>
          <w:lang w:val="en-GB"/>
        </w:rPr>
        <w:t>[</w:t>
      </w:r>
      <w:bookmarkStart w:id="224" w:name="_Ref_cit_23"/>
      <w:r w:rsidRPr="00084E49">
        <w:rPr>
          <w:lang w:val="en-GB"/>
        </w:rPr>
        <w:t>23</w:t>
      </w:r>
      <w:bookmarkEnd w:id="224"/>
      <w:r w:rsidRPr="00084E49">
        <w:rPr>
          <w:lang w:val="en-GB"/>
        </w:rPr>
        <w:t>]</w:t>
      </w:r>
      <w:r w:rsidRPr="00084E49">
        <w:rPr>
          <w:lang w:val="en-GB"/>
        </w:rPr>
        <w:tab/>
        <w:t xml:space="preserve">S. </w:t>
      </w:r>
      <w:proofErr w:type="spellStart"/>
      <w:r w:rsidRPr="00084E49">
        <w:rPr>
          <w:lang w:val="en-GB"/>
        </w:rPr>
        <w:t>Atilhan</w:t>
      </w:r>
      <w:proofErr w:type="spellEnd"/>
      <w:r w:rsidRPr="00084E49">
        <w:rPr>
          <w:lang w:val="en-GB"/>
        </w:rPr>
        <w:t xml:space="preserve">, S. Park, M. M. El-Halwagi, M. </w:t>
      </w:r>
      <w:proofErr w:type="spellStart"/>
      <w:r w:rsidRPr="00084E49">
        <w:rPr>
          <w:lang w:val="en-GB"/>
        </w:rPr>
        <w:t>Atilhan</w:t>
      </w:r>
      <w:proofErr w:type="spellEnd"/>
      <w:r w:rsidRPr="00084E49">
        <w:rPr>
          <w:lang w:val="en-GB"/>
        </w:rPr>
        <w:t xml:space="preserve">, M. Moore, and R. B. Nielsen, “Green hydrogen as an alternative fuel for the shipping industry,” </w:t>
      </w:r>
      <w:r w:rsidRPr="00084E49">
        <w:rPr>
          <w:i/>
          <w:iCs/>
          <w:lang w:val="en-GB"/>
        </w:rPr>
        <w:t xml:space="preserve">Curr. </w:t>
      </w:r>
      <w:proofErr w:type="spellStart"/>
      <w:r w:rsidRPr="00084E49">
        <w:rPr>
          <w:i/>
          <w:iCs/>
          <w:lang w:val="en-GB"/>
        </w:rPr>
        <w:t>Opin</w:t>
      </w:r>
      <w:proofErr w:type="spellEnd"/>
      <w:r w:rsidRPr="00084E49">
        <w:rPr>
          <w:i/>
          <w:iCs/>
          <w:lang w:val="en-GB"/>
        </w:rPr>
        <w:t>. Chem. Eng.</w:t>
      </w:r>
      <w:r w:rsidRPr="00084E49">
        <w:rPr>
          <w:lang w:val="en-GB"/>
        </w:rPr>
        <w:t xml:space="preserve">, vol. 31, p. 100668, Mar. 2021, </w:t>
      </w:r>
      <w:proofErr w:type="spellStart"/>
      <w:r w:rsidRPr="00084E49">
        <w:rPr>
          <w:lang w:val="en-GB"/>
        </w:rPr>
        <w:t>doi</w:t>
      </w:r>
      <w:proofErr w:type="spellEnd"/>
      <w:r w:rsidRPr="00084E49">
        <w:rPr>
          <w:lang w:val="en-GB"/>
        </w:rPr>
        <w:t>: 10.1016/j.coche.2020.100668.</w:t>
      </w:r>
    </w:p>
    <w:p w14:paraId="274D3493" w14:textId="77777777" w:rsidR="00C60D31" w:rsidRPr="00084E49" w:rsidRDefault="00C60D31" w:rsidP="00444B22">
      <w:pPr>
        <w:pStyle w:val="ac"/>
        <w:spacing w:after="60"/>
        <w:rPr>
          <w:lang w:val="en-GB"/>
        </w:rPr>
      </w:pPr>
      <w:r w:rsidRPr="00084E49">
        <w:rPr>
          <w:lang w:val="en-GB"/>
        </w:rPr>
        <w:t>[</w:t>
      </w:r>
      <w:bookmarkStart w:id="225" w:name="_Ref_cit_24"/>
      <w:r w:rsidRPr="00084E49">
        <w:rPr>
          <w:lang w:val="en-GB"/>
        </w:rPr>
        <w:t>24</w:t>
      </w:r>
      <w:bookmarkEnd w:id="225"/>
      <w:r w:rsidRPr="00084E49">
        <w:rPr>
          <w:lang w:val="en-GB"/>
        </w:rPr>
        <w:t>]</w:t>
      </w:r>
      <w:r w:rsidRPr="00084E49">
        <w:rPr>
          <w:lang w:val="en-GB"/>
        </w:rPr>
        <w:tab/>
        <w:t>“Alternative fuels in shipping: a guide to green potential | bound4blue.” Accessed: Mar. 16, 2026. [Online]. Available: https://bound4blue.com/alternative-fuels-in-shipping-the-guide/</w:t>
      </w:r>
    </w:p>
    <w:p w14:paraId="57E6B581" w14:textId="77777777" w:rsidR="00C60D31" w:rsidRPr="00084E49" w:rsidRDefault="00C60D31" w:rsidP="00444B22">
      <w:pPr>
        <w:pStyle w:val="ac"/>
        <w:spacing w:after="60"/>
        <w:rPr>
          <w:lang w:val="en-GB"/>
        </w:rPr>
      </w:pPr>
      <w:r w:rsidRPr="00084E49">
        <w:rPr>
          <w:lang w:val="en-GB"/>
        </w:rPr>
        <w:t>[</w:t>
      </w:r>
      <w:bookmarkStart w:id="226" w:name="_Ref_cit_25"/>
      <w:r w:rsidRPr="00084E49">
        <w:rPr>
          <w:lang w:val="en-GB"/>
        </w:rPr>
        <w:t>25</w:t>
      </w:r>
      <w:bookmarkEnd w:id="226"/>
      <w:r w:rsidRPr="00084E49">
        <w:rPr>
          <w:lang w:val="en-GB"/>
        </w:rPr>
        <w:t>]</w:t>
      </w:r>
      <w:r w:rsidRPr="00084E49">
        <w:rPr>
          <w:lang w:val="en-GB"/>
        </w:rPr>
        <w:tab/>
        <w:t>“Fuel for Thought - alternative marine fuels | LR.” Accessed: Mar. 16, 2026. [Online]. Available: https://www.lr.org/en/knowledge/research/fuel-for-thought/</w:t>
      </w:r>
    </w:p>
    <w:p w14:paraId="48CE085A" w14:textId="77777777" w:rsidR="00C60D31" w:rsidRPr="00084E49" w:rsidRDefault="00C60D31" w:rsidP="00444B22">
      <w:pPr>
        <w:pStyle w:val="ac"/>
        <w:spacing w:after="60"/>
        <w:rPr>
          <w:lang w:val="en-GB"/>
        </w:rPr>
      </w:pPr>
      <w:r w:rsidRPr="00084E49">
        <w:rPr>
          <w:lang w:val="en-GB"/>
        </w:rPr>
        <w:t>[</w:t>
      </w:r>
      <w:bookmarkStart w:id="227" w:name="_Ref_cit_26"/>
      <w:r w:rsidRPr="00084E49">
        <w:rPr>
          <w:lang w:val="en-GB"/>
        </w:rPr>
        <w:t>26</w:t>
      </w:r>
      <w:bookmarkEnd w:id="227"/>
      <w:r w:rsidRPr="00084E49">
        <w:rPr>
          <w:lang w:val="en-GB"/>
        </w:rPr>
        <w:t>]</w:t>
      </w:r>
      <w:r w:rsidRPr="00084E49">
        <w:rPr>
          <w:lang w:val="en-GB"/>
        </w:rPr>
        <w:tab/>
        <w:t xml:space="preserve">M. Svanberg, J. Ellis, J. Lundgren, and I. </w:t>
      </w:r>
      <w:proofErr w:type="spellStart"/>
      <w:r w:rsidRPr="00084E49">
        <w:rPr>
          <w:lang w:val="en-GB"/>
        </w:rPr>
        <w:t>Landälv</w:t>
      </w:r>
      <w:proofErr w:type="spellEnd"/>
      <w:r w:rsidRPr="00084E49">
        <w:rPr>
          <w:lang w:val="en-GB"/>
        </w:rPr>
        <w:t xml:space="preserve">, “Renewable methanol as a fuel for the shipping industry,” </w:t>
      </w:r>
      <w:r w:rsidRPr="00084E49">
        <w:rPr>
          <w:i/>
          <w:iCs/>
          <w:lang w:val="en-GB"/>
        </w:rPr>
        <w:t>Renew. Sustain. Energy Rev.</w:t>
      </w:r>
      <w:r w:rsidRPr="00084E49">
        <w:rPr>
          <w:lang w:val="en-GB"/>
        </w:rPr>
        <w:t xml:space="preserve">, vol. 94, pp. 1217–1228, Oct. 2018, </w:t>
      </w:r>
      <w:proofErr w:type="spellStart"/>
      <w:r w:rsidRPr="00084E49">
        <w:rPr>
          <w:lang w:val="en-GB"/>
        </w:rPr>
        <w:t>doi</w:t>
      </w:r>
      <w:proofErr w:type="spellEnd"/>
      <w:r w:rsidRPr="00084E49">
        <w:rPr>
          <w:lang w:val="en-GB"/>
        </w:rPr>
        <w:t>: 10.1016/j.rser.2018.06.058.</w:t>
      </w:r>
    </w:p>
    <w:p w14:paraId="23235384" w14:textId="77777777" w:rsidR="00C60D31" w:rsidRPr="00084E49" w:rsidRDefault="00C60D31" w:rsidP="00444B22">
      <w:pPr>
        <w:pStyle w:val="ac"/>
        <w:spacing w:after="60"/>
        <w:rPr>
          <w:lang w:val="en-GB"/>
        </w:rPr>
      </w:pPr>
      <w:r w:rsidRPr="00084E49">
        <w:rPr>
          <w:lang w:val="en-GB"/>
        </w:rPr>
        <w:t>[</w:t>
      </w:r>
      <w:bookmarkStart w:id="228" w:name="_Ref_cit_27"/>
      <w:r w:rsidRPr="00084E49">
        <w:rPr>
          <w:lang w:val="en-GB"/>
        </w:rPr>
        <w:t>27</w:t>
      </w:r>
      <w:bookmarkEnd w:id="228"/>
      <w:r w:rsidRPr="00084E49">
        <w:rPr>
          <w:lang w:val="en-GB"/>
        </w:rPr>
        <w:t>]</w:t>
      </w:r>
      <w:r w:rsidRPr="00084E49">
        <w:rPr>
          <w:lang w:val="en-GB"/>
        </w:rPr>
        <w:tab/>
        <w:t>D.-H. Hwang, Y.-S. Choi, and T.-W. Lim, “Thermal design of the reformer in reformer-fuel cell systems for onboard hydrogen production in LNG-</w:t>
      </w:r>
      <w:proofErr w:type="spellStart"/>
      <w:r w:rsidRPr="00084E49">
        <w:rPr>
          <w:lang w:val="en-GB"/>
        </w:rPr>
        <w:t>fueled</w:t>
      </w:r>
      <w:proofErr w:type="spellEnd"/>
      <w:r w:rsidRPr="00084E49">
        <w:rPr>
          <w:lang w:val="en-GB"/>
        </w:rPr>
        <w:t xml:space="preserve"> ships,” </w:t>
      </w:r>
      <w:r w:rsidRPr="00084E49">
        <w:rPr>
          <w:i/>
          <w:iCs/>
          <w:lang w:val="en-GB"/>
        </w:rPr>
        <w:t>Therm. Sci. Eng. Prog.</w:t>
      </w:r>
      <w:r w:rsidRPr="00084E49">
        <w:rPr>
          <w:lang w:val="en-GB"/>
        </w:rPr>
        <w:t xml:space="preserve">, vol. 69, p. 104484, Jan. 2026, </w:t>
      </w:r>
      <w:proofErr w:type="spellStart"/>
      <w:r w:rsidRPr="00084E49">
        <w:rPr>
          <w:lang w:val="en-GB"/>
        </w:rPr>
        <w:t>doi</w:t>
      </w:r>
      <w:proofErr w:type="spellEnd"/>
      <w:r w:rsidRPr="00084E49">
        <w:rPr>
          <w:lang w:val="en-GB"/>
        </w:rPr>
        <w:t>: 10.1016/j.tsep.2026.104484.</w:t>
      </w:r>
    </w:p>
    <w:p w14:paraId="1D47BB3C" w14:textId="77777777" w:rsidR="00C60D31" w:rsidRPr="00084E49" w:rsidRDefault="00C60D31" w:rsidP="00444B22">
      <w:pPr>
        <w:pStyle w:val="ac"/>
        <w:spacing w:after="60"/>
        <w:rPr>
          <w:lang w:val="en-GB"/>
        </w:rPr>
      </w:pPr>
      <w:r w:rsidRPr="00084E49">
        <w:rPr>
          <w:lang w:val="en-GB"/>
        </w:rPr>
        <w:lastRenderedPageBreak/>
        <w:t>[</w:t>
      </w:r>
      <w:bookmarkStart w:id="229" w:name="_Ref_cit_28"/>
      <w:r w:rsidRPr="00084E49">
        <w:rPr>
          <w:lang w:val="en-GB"/>
        </w:rPr>
        <w:t>28</w:t>
      </w:r>
      <w:bookmarkEnd w:id="229"/>
      <w:r w:rsidRPr="00084E49">
        <w:rPr>
          <w:lang w:val="en-GB"/>
        </w:rPr>
        <w:t>]</w:t>
      </w:r>
      <w:r w:rsidRPr="00084E49">
        <w:rPr>
          <w:lang w:val="en-GB"/>
        </w:rPr>
        <w:tab/>
        <w:t xml:space="preserve">W. Zhang </w:t>
      </w:r>
      <w:r w:rsidRPr="00084E49">
        <w:rPr>
          <w:i/>
          <w:iCs/>
          <w:lang w:val="en-GB"/>
        </w:rPr>
        <w:t>et al.</w:t>
      </w:r>
      <w:r w:rsidRPr="00084E49">
        <w:rPr>
          <w:lang w:val="en-GB"/>
        </w:rPr>
        <w:t xml:space="preserve">, “Wind-assisted propulsion systems for green shipping: A techno-economic review,” </w:t>
      </w:r>
      <w:r w:rsidRPr="00084E49">
        <w:rPr>
          <w:i/>
          <w:iCs/>
          <w:lang w:val="en-GB"/>
        </w:rPr>
        <w:t>Ocean</w:t>
      </w:r>
      <w:r w:rsidRPr="00084E49">
        <w:rPr>
          <w:lang w:val="en-GB"/>
        </w:rPr>
        <w:t xml:space="preserve">, Feb. 2026, </w:t>
      </w:r>
      <w:proofErr w:type="spellStart"/>
      <w:r w:rsidRPr="00084E49">
        <w:rPr>
          <w:lang w:val="en-GB"/>
        </w:rPr>
        <w:t>doi</w:t>
      </w:r>
      <w:proofErr w:type="spellEnd"/>
      <w:r w:rsidRPr="00084E49">
        <w:rPr>
          <w:lang w:val="en-GB"/>
        </w:rPr>
        <w:t>: 10.26599/OCEAN.2026.9470019.</w:t>
      </w:r>
    </w:p>
    <w:p w14:paraId="63E69CD3" w14:textId="77777777" w:rsidR="00C60D31" w:rsidRPr="00084E49" w:rsidRDefault="00C60D31" w:rsidP="00444B22">
      <w:pPr>
        <w:pStyle w:val="ac"/>
        <w:spacing w:after="60"/>
        <w:rPr>
          <w:lang w:val="en-GB"/>
        </w:rPr>
      </w:pPr>
      <w:r w:rsidRPr="00084E49">
        <w:rPr>
          <w:lang w:val="en-GB"/>
        </w:rPr>
        <w:t>[</w:t>
      </w:r>
      <w:bookmarkStart w:id="230" w:name="_Ref_cit_29"/>
      <w:r w:rsidRPr="00084E49">
        <w:rPr>
          <w:lang w:val="en-GB"/>
        </w:rPr>
        <w:t>29</w:t>
      </w:r>
      <w:bookmarkEnd w:id="230"/>
      <w:r w:rsidRPr="00084E49">
        <w:rPr>
          <w:lang w:val="en-GB"/>
        </w:rPr>
        <w:t>]</w:t>
      </w:r>
      <w:r w:rsidRPr="00084E49">
        <w:rPr>
          <w:lang w:val="en-GB"/>
        </w:rPr>
        <w:tab/>
        <w:t>“Alternative Marine Fuels &amp; Marine Gas Oil Insights | Argus Media.” Accessed: Mar. 23, 2026. [Online]. Available: https://www.argusmedia.com/en/news-and-insights/topical-market-themes/alternative-marine-fuels</w:t>
      </w:r>
    </w:p>
    <w:p w14:paraId="211B350D" w14:textId="77777777" w:rsidR="00C60D31" w:rsidRPr="00084E49" w:rsidRDefault="00C60D31" w:rsidP="00444B22">
      <w:pPr>
        <w:pStyle w:val="ac"/>
        <w:spacing w:after="60"/>
        <w:rPr>
          <w:lang w:val="en-GB"/>
        </w:rPr>
      </w:pPr>
      <w:r w:rsidRPr="00084E49">
        <w:rPr>
          <w:lang w:val="en-GB"/>
        </w:rPr>
        <w:t>[</w:t>
      </w:r>
      <w:bookmarkStart w:id="231" w:name="_Ref_cit_30"/>
      <w:r w:rsidRPr="00084E49">
        <w:rPr>
          <w:lang w:val="en-GB"/>
        </w:rPr>
        <w:t>30</w:t>
      </w:r>
      <w:bookmarkEnd w:id="231"/>
      <w:r w:rsidRPr="00084E49">
        <w:rPr>
          <w:lang w:val="en-GB"/>
        </w:rPr>
        <w:t>]</w:t>
      </w:r>
      <w:r w:rsidRPr="00084E49">
        <w:rPr>
          <w:lang w:val="en-GB"/>
        </w:rPr>
        <w:tab/>
        <w:t xml:space="preserve">J. S. L. Lam, Q. Li, and S. Pu, “Volatility in shipping markets: a multi-perspective analysis using time series and deep learning models,” </w:t>
      </w:r>
      <w:r w:rsidRPr="00084E49">
        <w:rPr>
          <w:i/>
          <w:iCs/>
          <w:lang w:val="en-GB"/>
        </w:rPr>
        <w:t xml:space="preserve">Marit. Econ. </w:t>
      </w:r>
      <w:proofErr w:type="spellStart"/>
      <w:r w:rsidRPr="00084E49">
        <w:rPr>
          <w:i/>
          <w:iCs/>
          <w:lang w:val="en-GB"/>
        </w:rPr>
        <w:t>Logist</w:t>
      </w:r>
      <w:proofErr w:type="spellEnd"/>
      <w:r w:rsidRPr="00084E49">
        <w:rPr>
          <w:i/>
          <w:iCs/>
          <w:lang w:val="en-GB"/>
        </w:rPr>
        <w:t>.</w:t>
      </w:r>
      <w:r w:rsidRPr="00084E49">
        <w:rPr>
          <w:lang w:val="en-GB"/>
        </w:rPr>
        <w:t xml:space="preserve">, Feb. 2026, </w:t>
      </w:r>
      <w:proofErr w:type="spellStart"/>
      <w:r w:rsidRPr="00084E49">
        <w:rPr>
          <w:lang w:val="en-GB"/>
        </w:rPr>
        <w:t>doi</w:t>
      </w:r>
      <w:proofErr w:type="spellEnd"/>
      <w:r w:rsidRPr="00084E49">
        <w:rPr>
          <w:lang w:val="en-GB"/>
        </w:rPr>
        <w:t>: 10.1057/s41278-026-00348-5.</w:t>
      </w:r>
    </w:p>
    <w:p w14:paraId="2BCF0ADE" w14:textId="77777777" w:rsidR="00C60D31" w:rsidRPr="00084E49" w:rsidRDefault="00C60D31" w:rsidP="00444B22">
      <w:pPr>
        <w:pStyle w:val="ac"/>
        <w:spacing w:after="60"/>
        <w:rPr>
          <w:lang w:val="en-GB"/>
        </w:rPr>
      </w:pPr>
      <w:r w:rsidRPr="00084E49">
        <w:rPr>
          <w:lang w:val="en-GB"/>
        </w:rPr>
        <w:t>[</w:t>
      </w:r>
      <w:bookmarkStart w:id="232" w:name="_Ref_cit_31"/>
      <w:r w:rsidRPr="00084E49">
        <w:rPr>
          <w:lang w:val="en-GB"/>
        </w:rPr>
        <w:t>31</w:t>
      </w:r>
      <w:bookmarkEnd w:id="232"/>
      <w:r w:rsidRPr="00084E49">
        <w:rPr>
          <w:lang w:val="en-GB"/>
        </w:rPr>
        <w:t>]</w:t>
      </w:r>
      <w:r w:rsidRPr="00084E49">
        <w:rPr>
          <w:lang w:val="en-GB"/>
        </w:rPr>
        <w:tab/>
        <w:t xml:space="preserve">T. Theodorou and A. </w:t>
      </w:r>
      <w:proofErr w:type="spellStart"/>
      <w:r w:rsidRPr="00084E49">
        <w:rPr>
          <w:lang w:val="en-GB"/>
        </w:rPr>
        <w:t>Litina</w:t>
      </w:r>
      <w:proofErr w:type="spellEnd"/>
      <w:r w:rsidRPr="00084E49">
        <w:rPr>
          <w:lang w:val="en-GB"/>
        </w:rPr>
        <w:t>, “« Economic and Geopolitical factors affecting the freight rates »”.</w:t>
      </w:r>
    </w:p>
    <w:p w14:paraId="40E0A3A4" w14:textId="77777777" w:rsidR="00C60D31" w:rsidRPr="00084E49" w:rsidRDefault="00C60D31" w:rsidP="00444B22">
      <w:pPr>
        <w:pStyle w:val="ac"/>
        <w:spacing w:after="60"/>
        <w:rPr>
          <w:lang w:val="en-GB"/>
        </w:rPr>
      </w:pPr>
      <w:r w:rsidRPr="00084E49">
        <w:rPr>
          <w:lang w:val="en-GB"/>
        </w:rPr>
        <w:t>[</w:t>
      </w:r>
      <w:bookmarkStart w:id="233" w:name="_Ref_cit_32"/>
      <w:r w:rsidRPr="00084E49">
        <w:rPr>
          <w:lang w:val="en-GB"/>
        </w:rPr>
        <w:t>32</w:t>
      </w:r>
      <w:bookmarkEnd w:id="233"/>
      <w:r w:rsidRPr="00084E49">
        <w:rPr>
          <w:lang w:val="en-GB"/>
        </w:rPr>
        <w:t>]</w:t>
      </w:r>
      <w:r w:rsidRPr="00084E49">
        <w:rPr>
          <w:lang w:val="en-GB"/>
        </w:rPr>
        <w:tab/>
        <w:t xml:space="preserve">A. Nawaz, C. W. Su, and S. Y. Khan, “How do climate and economic policy uncertainties relate to global fossil fuel price </w:t>
      </w:r>
      <w:proofErr w:type="gramStart"/>
      <w:r w:rsidRPr="00084E49">
        <w:rPr>
          <w:lang w:val="en-GB"/>
        </w:rPr>
        <w:t>dynamics?,</w:t>
      </w:r>
      <w:proofErr w:type="gramEnd"/>
      <w:r w:rsidRPr="00084E49">
        <w:rPr>
          <w:lang w:val="en-GB"/>
        </w:rPr>
        <w:t xml:space="preserve">” </w:t>
      </w:r>
      <w:r w:rsidRPr="00084E49">
        <w:rPr>
          <w:i/>
          <w:iCs/>
          <w:lang w:val="en-GB"/>
        </w:rPr>
        <w:t>North Am. J. Econ. Finance</w:t>
      </w:r>
      <w:r w:rsidRPr="00084E49">
        <w:rPr>
          <w:lang w:val="en-GB"/>
        </w:rPr>
        <w:t xml:space="preserve">, vol. 83, p. 102594, Mar. 2026, </w:t>
      </w:r>
      <w:proofErr w:type="spellStart"/>
      <w:r w:rsidRPr="00084E49">
        <w:rPr>
          <w:lang w:val="en-GB"/>
        </w:rPr>
        <w:t>doi</w:t>
      </w:r>
      <w:proofErr w:type="spellEnd"/>
      <w:r w:rsidRPr="00084E49">
        <w:rPr>
          <w:lang w:val="en-GB"/>
        </w:rPr>
        <w:t>: 10.1016/j.najef.2026.102594.</w:t>
      </w:r>
    </w:p>
    <w:p w14:paraId="04F29EE0" w14:textId="77777777" w:rsidR="00C60D31" w:rsidRPr="00084E49" w:rsidRDefault="00C60D31" w:rsidP="00444B22">
      <w:pPr>
        <w:pStyle w:val="ac"/>
        <w:spacing w:after="60"/>
        <w:rPr>
          <w:lang w:val="en-GB"/>
        </w:rPr>
      </w:pPr>
      <w:r w:rsidRPr="00084E49">
        <w:rPr>
          <w:lang w:val="en-GB"/>
        </w:rPr>
        <w:t>[</w:t>
      </w:r>
      <w:bookmarkStart w:id="234" w:name="_Ref_cit_33"/>
      <w:r w:rsidRPr="00084E49">
        <w:rPr>
          <w:lang w:val="en-GB"/>
        </w:rPr>
        <w:t>33</w:t>
      </w:r>
      <w:bookmarkEnd w:id="234"/>
      <w:r w:rsidRPr="00084E49">
        <w:rPr>
          <w:lang w:val="en-GB"/>
        </w:rPr>
        <w:t>]</w:t>
      </w:r>
      <w:r w:rsidRPr="00084E49">
        <w:rPr>
          <w:lang w:val="en-GB"/>
        </w:rPr>
        <w:tab/>
        <w:t xml:space="preserve">S. Ollila, A. Merkel, and M. Börjesson, “Effect of fuel prices on sailing speeds in short-sea shipping,” </w:t>
      </w:r>
      <w:r w:rsidRPr="00084E49">
        <w:rPr>
          <w:i/>
          <w:iCs/>
          <w:lang w:val="en-GB"/>
        </w:rPr>
        <w:t>Appl. Econ.</w:t>
      </w:r>
      <w:r w:rsidRPr="00084E49">
        <w:rPr>
          <w:lang w:val="en-GB"/>
        </w:rPr>
        <w:t xml:space="preserve">, vol. 57, no. 33, pp. 4938–4954, Jul. 2025, </w:t>
      </w:r>
      <w:proofErr w:type="spellStart"/>
      <w:r w:rsidRPr="00084E49">
        <w:rPr>
          <w:lang w:val="en-GB"/>
        </w:rPr>
        <w:t>doi</w:t>
      </w:r>
      <w:proofErr w:type="spellEnd"/>
      <w:r w:rsidRPr="00084E49">
        <w:rPr>
          <w:lang w:val="en-GB"/>
        </w:rPr>
        <w:t>: 10.1080/00036846.2024.2364106.</w:t>
      </w:r>
    </w:p>
    <w:p w14:paraId="6AC5B81C" w14:textId="77777777" w:rsidR="00C60D31" w:rsidRPr="00084E49" w:rsidRDefault="00C60D31" w:rsidP="00444B22">
      <w:pPr>
        <w:pStyle w:val="ac"/>
        <w:spacing w:after="60"/>
        <w:rPr>
          <w:lang w:val="en-GB"/>
        </w:rPr>
      </w:pPr>
      <w:r w:rsidRPr="00084E49">
        <w:rPr>
          <w:lang w:val="en-GB"/>
        </w:rPr>
        <w:t>[</w:t>
      </w:r>
      <w:bookmarkStart w:id="235" w:name="_Ref_cit_34"/>
      <w:r w:rsidRPr="00084E49">
        <w:rPr>
          <w:lang w:val="en-GB"/>
        </w:rPr>
        <w:t>34</w:t>
      </w:r>
      <w:bookmarkEnd w:id="235"/>
      <w:r w:rsidRPr="00084E49">
        <w:rPr>
          <w:lang w:val="en-GB"/>
        </w:rPr>
        <w:t>]</w:t>
      </w:r>
      <w:r w:rsidRPr="00084E49">
        <w:rPr>
          <w:lang w:val="en-GB"/>
        </w:rPr>
        <w:tab/>
        <w:t xml:space="preserve">A. Djoumessi, A. Tei, C. Ferrari, P. Wide, and V. </w:t>
      </w:r>
      <w:proofErr w:type="spellStart"/>
      <w:r w:rsidRPr="00084E49">
        <w:rPr>
          <w:lang w:val="en-GB"/>
        </w:rPr>
        <w:t>Santén</w:t>
      </w:r>
      <w:proofErr w:type="spellEnd"/>
      <w:r w:rsidRPr="00084E49">
        <w:rPr>
          <w:lang w:val="en-GB"/>
        </w:rPr>
        <w:t xml:space="preserve">, “Drivers and barriers to the adoption of wind assisted ship propulsion technologies: An organisational perspective,” </w:t>
      </w:r>
      <w:r w:rsidRPr="00084E49">
        <w:rPr>
          <w:i/>
          <w:iCs/>
          <w:lang w:val="en-GB"/>
        </w:rPr>
        <w:t>Technol. Forecast. Soc. Change</w:t>
      </w:r>
      <w:r w:rsidRPr="00084E49">
        <w:rPr>
          <w:lang w:val="en-GB"/>
        </w:rPr>
        <w:t xml:space="preserve">, vol. 226, p. 124559, May 2026, </w:t>
      </w:r>
      <w:proofErr w:type="spellStart"/>
      <w:r w:rsidRPr="00084E49">
        <w:rPr>
          <w:lang w:val="en-GB"/>
        </w:rPr>
        <w:t>doi</w:t>
      </w:r>
      <w:proofErr w:type="spellEnd"/>
      <w:r w:rsidRPr="00084E49">
        <w:rPr>
          <w:lang w:val="en-GB"/>
        </w:rPr>
        <w:t>: 10.1016/j.techfore.2026.124559.</w:t>
      </w:r>
    </w:p>
    <w:p w14:paraId="3E3507FA" w14:textId="77777777" w:rsidR="00C60D31" w:rsidRPr="00084E49" w:rsidRDefault="00C60D31" w:rsidP="00444B22">
      <w:pPr>
        <w:pStyle w:val="ac"/>
        <w:spacing w:after="60"/>
        <w:rPr>
          <w:lang w:val="en-GB"/>
        </w:rPr>
      </w:pPr>
      <w:r w:rsidRPr="00084E49">
        <w:rPr>
          <w:lang w:val="en-GB"/>
        </w:rPr>
        <w:t>[</w:t>
      </w:r>
      <w:bookmarkStart w:id="236" w:name="_Ref_cit_35"/>
      <w:r w:rsidRPr="00084E49">
        <w:rPr>
          <w:lang w:val="en-GB"/>
        </w:rPr>
        <w:t>35</w:t>
      </w:r>
      <w:bookmarkEnd w:id="236"/>
      <w:r w:rsidRPr="00084E49">
        <w:rPr>
          <w:lang w:val="en-GB"/>
        </w:rPr>
        <w:t>]</w:t>
      </w:r>
      <w:r w:rsidRPr="00084E49">
        <w:rPr>
          <w:lang w:val="en-GB"/>
        </w:rPr>
        <w:tab/>
        <w:t>“WAPS – Wind Assisted Propulsion Systems,” DNV. Accessed: Mar. 31, 2026. [Online]. Available: https://www.dnv.com/maritime/insights/topics/waps-wind-assisted-propulsion-systems/</w:t>
      </w:r>
    </w:p>
    <w:p w14:paraId="137FDAC3" w14:textId="77777777" w:rsidR="00C60D31" w:rsidRPr="00084E49" w:rsidRDefault="00C60D31" w:rsidP="00444B22">
      <w:pPr>
        <w:pStyle w:val="ac"/>
        <w:spacing w:after="60"/>
        <w:rPr>
          <w:lang w:val="en-GB"/>
        </w:rPr>
      </w:pPr>
      <w:r w:rsidRPr="00084E49">
        <w:rPr>
          <w:lang w:val="en-GB"/>
        </w:rPr>
        <w:t>[</w:t>
      </w:r>
      <w:bookmarkStart w:id="237" w:name="_Ref_cit_36"/>
      <w:r w:rsidRPr="00084E49">
        <w:rPr>
          <w:lang w:val="en-GB"/>
        </w:rPr>
        <w:t>36</w:t>
      </w:r>
      <w:bookmarkEnd w:id="237"/>
      <w:r w:rsidRPr="00084E49">
        <w:rPr>
          <w:lang w:val="en-GB"/>
        </w:rPr>
        <w:t>]</w:t>
      </w:r>
      <w:r w:rsidRPr="00084E49">
        <w:rPr>
          <w:lang w:val="en-GB"/>
        </w:rPr>
        <w:tab/>
        <w:t>“maritime.lr.org/WAPS-report.” Accessed: Apr. 02, 2026. [Online]. Available: https://maritime.lr.org/WAPS-report</w:t>
      </w:r>
    </w:p>
    <w:p w14:paraId="2AF8359F" w14:textId="77777777" w:rsidR="00C60D31" w:rsidRPr="00084E49" w:rsidRDefault="00C60D31" w:rsidP="00444B22">
      <w:pPr>
        <w:pStyle w:val="ac"/>
        <w:spacing w:after="60"/>
        <w:rPr>
          <w:lang w:val="en-GB"/>
        </w:rPr>
      </w:pPr>
      <w:r w:rsidRPr="00084E49">
        <w:rPr>
          <w:lang w:val="en-GB"/>
        </w:rPr>
        <w:t>[</w:t>
      </w:r>
      <w:bookmarkStart w:id="238" w:name="_Ref_cit_37"/>
      <w:r w:rsidRPr="00084E49">
        <w:rPr>
          <w:lang w:val="en-GB"/>
        </w:rPr>
        <w:t>37</w:t>
      </w:r>
      <w:bookmarkEnd w:id="238"/>
      <w:r w:rsidRPr="00084E49">
        <w:rPr>
          <w:lang w:val="en-GB"/>
        </w:rPr>
        <w:t>]</w:t>
      </w:r>
      <w:r w:rsidRPr="00084E49">
        <w:rPr>
          <w:lang w:val="en-GB"/>
        </w:rPr>
        <w:tab/>
        <w:t xml:space="preserve">George Zarafonitis, </w:t>
      </w:r>
      <w:r w:rsidRPr="00084E49">
        <w:rPr>
          <w:i/>
          <w:iCs/>
          <w:lang w:val="en-GB"/>
        </w:rPr>
        <w:t>Introduction to Naval Architecture and Maritime Technology</w:t>
      </w:r>
      <w:r w:rsidRPr="00084E49">
        <w:rPr>
          <w:lang w:val="en-GB"/>
        </w:rPr>
        <w:t>. Athens: National Technical University of Athens, 2015.</w:t>
      </w:r>
    </w:p>
    <w:p w14:paraId="0F2DD2E1" w14:textId="77777777" w:rsidR="00C60D31" w:rsidRPr="00084E49" w:rsidRDefault="00C60D31" w:rsidP="00444B22">
      <w:pPr>
        <w:pStyle w:val="ac"/>
        <w:spacing w:after="60"/>
        <w:rPr>
          <w:lang w:val="en-GB"/>
        </w:rPr>
      </w:pPr>
      <w:r w:rsidRPr="00084E49">
        <w:rPr>
          <w:lang w:val="en-GB"/>
        </w:rPr>
        <w:t>[</w:t>
      </w:r>
      <w:bookmarkStart w:id="239" w:name="_Ref_cit_38"/>
      <w:r w:rsidRPr="00084E49">
        <w:rPr>
          <w:lang w:val="en-GB"/>
        </w:rPr>
        <w:t>38</w:t>
      </w:r>
      <w:bookmarkEnd w:id="239"/>
      <w:r w:rsidRPr="00084E49">
        <w:rPr>
          <w:lang w:val="en-GB"/>
        </w:rPr>
        <w:t>]</w:t>
      </w:r>
      <w:r w:rsidRPr="00084E49">
        <w:rPr>
          <w:lang w:val="en-GB"/>
        </w:rPr>
        <w:tab/>
        <w:t>Alexandra Zoi, “Assessing the Impact of a Wind Assisted Propulsion System on Ship Energy Efficiency,” National Technical University of Athens, Athens, 2025.</w:t>
      </w:r>
    </w:p>
    <w:p w14:paraId="6BFFCB77" w14:textId="77777777" w:rsidR="00C60D31" w:rsidRPr="00084E49" w:rsidRDefault="00C60D31" w:rsidP="00444B22">
      <w:pPr>
        <w:pStyle w:val="ac"/>
        <w:spacing w:after="60"/>
        <w:rPr>
          <w:lang w:val="en-GB"/>
        </w:rPr>
      </w:pPr>
      <w:r w:rsidRPr="00084E49">
        <w:rPr>
          <w:lang w:val="en-GB"/>
        </w:rPr>
        <w:t>[</w:t>
      </w:r>
      <w:bookmarkStart w:id="240" w:name="_Ref_cit_39"/>
      <w:r w:rsidRPr="00084E49">
        <w:rPr>
          <w:lang w:val="en-GB"/>
        </w:rPr>
        <w:t>39</w:t>
      </w:r>
      <w:bookmarkEnd w:id="240"/>
      <w:r w:rsidRPr="00084E49">
        <w:rPr>
          <w:lang w:val="en-GB"/>
        </w:rPr>
        <w:t>]</w:t>
      </w:r>
      <w:r w:rsidRPr="00084E49">
        <w:rPr>
          <w:lang w:val="en-GB"/>
        </w:rPr>
        <w:tab/>
        <w:t>T. Glatz, “</w:t>
      </w:r>
      <w:proofErr w:type="spellStart"/>
      <w:r w:rsidRPr="00084E49">
        <w:rPr>
          <w:lang w:val="en-GB"/>
        </w:rPr>
        <w:t>Analyzing</w:t>
      </w:r>
      <w:proofErr w:type="spellEnd"/>
      <w:r w:rsidRPr="00084E49">
        <w:rPr>
          <w:lang w:val="en-GB"/>
        </w:rPr>
        <w:t xml:space="preserve"> the Kinematics of Rotor Sails,” Jan. 2021.</w:t>
      </w:r>
    </w:p>
    <w:p w14:paraId="4F2D8A3E" w14:textId="77777777" w:rsidR="00C60D31" w:rsidRPr="00084E49" w:rsidRDefault="00C60D31" w:rsidP="00444B22">
      <w:pPr>
        <w:pStyle w:val="ac"/>
        <w:spacing w:after="60"/>
        <w:rPr>
          <w:lang w:val="en-GB"/>
        </w:rPr>
      </w:pPr>
      <w:r w:rsidRPr="00084E49">
        <w:rPr>
          <w:lang w:val="en-GB"/>
        </w:rPr>
        <w:t>[</w:t>
      </w:r>
      <w:bookmarkStart w:id="241" w:name="_Ref_cit_40"/>
      <w:r w:rsidRPr="00084E49">
        <w:rPr>
          <w:lang w:val="en-GB"/>
        </w:rPr>
        <w:t>40</w:t>
      </w:r>
      <w:bookmarkEnd w:id="241"/>
      <w:r w:rsidRPr="00084E49">
        <w:rPr>
          <w:lang w:val="en-GB"/>
        </w:rPr>
        <w:t>]</w:t>
      </w:r>
      <w:r w:rsidRPr="00084E49">
        <w:rPr>
          <w:lang w:val="en-GB"/>
        </w:rPr>
        <w:tab/>
        <w:t xml:space="preserve">K. Carjova, O.-P. </w:t>
      </w:r>
      <w:proofErr w:type="spellStart"/>
      <w:r w:rsidRPr="00084E49">
        <w:rPr>
          <w:lang w:val="en-GB"/>
        </w:rPr>
        <w:t>Hilmola</w:t>
      </w:r>
      <w:proofErr w:type="spellEnd"/>
      <w:r w:rsidRPr="00084E49">
        <w:rPr>
          <w:lang w:val="en-GB"/>
        </w:rPr>
        <w:t xml:space="preserve">, and U. </w:t>
      </w:r>
      <w:proofErr w:type="spellStart"/>
      <w:r w:rsidRPr="00084E49">
        <w:rPr>
          <w:lang w:val="en-GB"/>
        </w:rPr>
        <w:t>Tapaninen</w:t>
      </w:r>
      <w:proofErr w:type="spellEnd"/>
      <w:r w:rsidRPr="00084E49">
        <w:rPr>
          <w:lang w:val="en-GB"/>
        </w:rPr>
        <w:t xml:space="preserve">, “Economic Feasibility and Operational Performance of Rotor Sails in Maritime Transport,” </w:t>
      </w:r>
      <w:r w:rsidRPr="00084E49">
        <w:rPr>
          <w:i/>
          <w:iCs/>
          <w:lang w:val="en-GB"/>
        </w:rPr>
        <w:t>Sustainability</w:t>
      </w:r>
      <w:r w:rsidRPr="00084E49">
        <w:rPr>
          <w:lang w:val="en-GB"/>
        </w:rPr>
        <w:t xml:space="preserve">, vol. 17, no. 13, p. 5909, Jan. 2025, </w:t>
      </w:r>
      <w:proofErr w:type="spellStart"/>
      <w:r w:rsidRPr="00084E49">
        <w:rPr>
          <w:lang w:val="en-GB"/>
        </w:rPr>
        <w:t>doi</w:t>
      </w:r>
      <w:proofErr w:type="spellEnd"/>
      <w:r w:rsidRPr="00084E49">
        <w:rPr>
          <w:lang w:val="en-GB"/>
        </w:rPr>
        <w:t>: 10.3390/su17135909.</w:t>
      </w:r>
    </w:p>
    <w:p w14:paraId="211D49A9" w14:textId="77777777" w:rsidR="00C60D31" w:rsidRPr="00084E49" w:rsidRDefault="00C60D31" w:rsidP="00444B22">
      <w:pPr>
        <w:pStyle w:val="ac"/>
        <w:spacing w:after="60"/>
        <w:rPr>
          <w:lang w:val="en-GB"/>
        </w:rPr>
      </w:pPr>
      <w:r w:rsidRPr="00084E49">
        <w:rPr>
          <w:lang w:val="en-GB"/>
        </w:rPr>
        <w:t>[</w:t>
      </w:r>
      <w:bookmarkStart w:id="242" w:name="_Ref_cit_41"/>
      <w:r w:rsidRPr="00084E49">
        <w:rPr>
          <w:lang w:val="en-GB"/>
        </w:rPr>
        <w:t>41</w:t>
      </w:r>
      <w:bookmarkEnd w:id="242"/>
      <w:r w:rsidRPr="00084E49">
        <w:rPr>
          <w:lang w:val="en-GB"/>
        </w:rPr>
        <w:t>]</w:t>
      </w:r>
      <w:r w:rsidRPr="00084E49">
        <w:rPr>
          <w:lang w:val="en-GB"/>
        </w:rPr>
        <w:tab/>
        <w:t>“Suction Sails explained: A breakthrough in wind assisted propulsion technology.” Accessed: Jun. 29, 2026. [Online]. Available: https://www.odfjell.com/about/our-stories/suction-sails-explained-a-breakthrough-in-wind-propulsion-technology/</w:t>
      </w:r>
    </w:p>
    <w:p w14:paraId="7B9FA9C3" w14:textId="77777777" w:rsidR="00C60D31" w:rsidRPr="00084E49" w:rsidRDefault="00C60D31" w:rsidP="00444B22">
      <w:pPr>
        <w:pStyle w:val="ac"/>
        <w:spacing w:after="60"/>
        <w:rPr>
          <w:lang w:val="en-GB"/>
        </w:rPr>
      </w:pPr>
      <w:r w:rsidRPr="00084E49">
        <w:rPr>
          <w:lang w:val="en-GB"/>
        </w:rPr>
        <w:t>[</w:t>
      </w:r>
      <w:bookmarkStart w:id="243" w:name="_Ref_cit_42"/>
      <w:r w:rsidRPr="00084E49">
        <w:rPr>
          <w:lang w:val="en-GB"/>
        </w:rPr>
        <w:t>42</w:t>
      </w:r>
      <w:bookmarkEnd w:id="243"/>
      <w:r w:rsidRPr="00084E49">
        <w:rPr>
          <w:lang w:val="en-GB"/>
        </w:rPr>
        <w:t>]</w:t>
      </w:r>
      <w:r w:rsidRPr="00084E49">
        <w:rPr>
          <w:lang w:val="en-GB"/>
        </w:rPr>
        <w:tab/>
        <w:t xml:space="preserve">K. Gaul and G. Rutkowski, “Harnessing the Wind: The Rise of Wind-Assisted Ship Propulsion (WASP) in the Transformation of Maritime Transport,” </w:t>
      </w:r>
      <w:proofErr w:type="spellStart"/>
      <w:r w:rsidRPr="00084E49">
        <w:rPr>
          <w:i/>
          <w:iCs/>
          <w:lang w:val="en-GB"/>
        </w:rPr>
        <w:t>TransNav</w:t>
      </w:r>
      <w:proofErr w:type="spellEnd"/>
      <w:r w:rsidRPr="00084E49">
        <w:rPr>
          <w:i/>
          <w:iCs/>
          <w:lang w:val="en-GB"/>
        </w:rPr>
        <w:t xml:space="preserve"> Int. J. Mar. </w:t>
      </w:r>
      <w:proofErr w:type="spellStart"/>
      <w:r w:rsidRPr="00084E49">
        <w:rPr>
          <w:i/>
          <w:iCs/>
          <w:lang w:val="en-GB"/>
        </w:rPr>
        <w:t>Navig</w:t>
      </w:r>
      <w:proofErr w:type="spellEnd"/>
      <w:r w:rsidRPr="00084E49">
        <w:rPr>
          <w:i/>
          <w:iCs/>
          <w:lang w:val="en-GB"/>
        </w:rPr>
        <w:t>. Saf. Sea Transp.</w:t>
      </w:r>
      <w:r w:rsidRPr="00084E49">
        <w:rPr>
          <w:lang w:val="en-GB"/>
        </w:rPr>
        <w:t xml:space="preserve">, vol. 19, no. 1, pp. 217–225, 2025, </w:t>
      </w:r>
      <w:proofErr w:type="spellStart"/>
      <w:r w:rsidRPr="00084E49">
        <w:rPr>
          <w:lang w:val="en-GB"/>
        </w:rPr>
        <w:t>doi</w:t>
      </w:r>
      <w:proofErr w:type="spellEnd"/>
      <w:r w:rsidRPr="00084E49">
        <w:rPr>
          <w:lang w:val="en-GB"/>
        </w:rPr>
        <w:t>: 10.12716/1001.19.01.25.</w:t>
      </w:r>
    </w:p>
    <w:p w14:paraId="3740A815" w14:textId="77777777" w:rsidR="00C60D31" w:rsidRPr="00084E49" w:rsidRDefault="00C60D31" w:rsidP="00444B22">
      <w:pPr>
        <w:pStyle w:val="ac"/>
        <w:spacing w:after="60"/>
        <w:rPr>
          <w:lang w:val="en-GB"/>
        </w:rPr>
      </w:pPr>
      <w:r w:rsidRPr="00084E49">
        <w:rPr>
          <w:lang w:val="en-GB"/>
        </w:rPr>
        <w:t>[</w:t>
      </w:r>
      <w:bookmarkStart w:id="244" w:name="_Ref_cit_43"/>
      <w:r w:rsidRPr="00084E49">
        <w:rPr>
          <w:lang w:val="en-GB"/>
        </w:rPr>
        <w:t>43</w:t>
      </w:r>
      <w:bookmarkEnd w:id="244"/>
      <w:r w:rsidRPr="00084E49">
        <w:rPr>
          <w:lang w:val="en-GB"/>
        </w:rPr>
        <w:t>]</w:t>
      </w:r>
      <w:r w:rsidRPr="00084E49">
        <w:rPr>
          <w:lang w:val="en-GB"/>
        </w:rPr>
        <w:tab/>
        <w:t xml:space="preserve">S. Fang </w:t>
      </w:r>
      <w:r w:rsidRPr="00084E49">
        <w:rPr>
          <w:i/>
          <w:iCs/>
          <w:lang w:val="en-GB"/>
        </w:rPr>
        <w:t>et al.</w:t>
      </w:r>
      <w:r w:rsidRPr="00084E49">
        <w:rPr>
          <w:lang w:val="en-GB"/>
        </w:rPr>
        <w:t xml:space="preserve">, “Aerodynamic Analysis of Rigid Wing Sail Based on CFD Simulation for the Design of High-Performance Unmanned Sailboats,” </w:t>
      </w:r>
      <w:r w:rsidRPr="00084E49">
        <w:rPr>
          <w:i/>
          <w:iCs/>
          <w:lang w:val="en-GB"/>
        </w:rPr>
        <w:t>Mathematics</w:t>
      </w:r>
      <w:r w:rsidRPr="00084E49">
        <w:rPr>
          <w:lang w:val="en-GB"/>
        </w:rPr>
        <w:t xml:space="preserve">, vol. 12, no. 16, p. 2481, Aug. 2024, </w:t>
      </w:r>
      <w:proofErr w:type="spellStart"/>
      <w:r w:rsidRPr="00084E49">
        <w:rPr>
          <w:lang w:val="en-GB"/>
        </w:rPr>
        <w:t>doi</w:t>
      </w:r>
      <w:proofErr w:type="spellEnd"/>
      <w:r w:rsidRPr="00084E49">
        <w:rPr>
          <w:lang w:val="en-GB"/>
        </w:rPr>
        <w:t>: 10.3390/math12162481.</w:t>
      </w:r>
    </w:p>
    <w:p w14:paraId="467D0C6A" w14:textId="77777777" w:rsidR="00C60D31" w:rsidRPr="00084E49" w:rsidRDefault="00C60D31" w:rsidP="00444B22">
      <w:pPr>
        <w:pStyle w:val="ac"/>
        <w:spacing w:after="60"/>
        <w:rPr>
          <w:lang w:val="en-GB"/>
        </w:rPr>
      </w:pPr>
      <w:r w:rsidRPr="00084E49">
        <w:rPr>
          <w:lang w:val="en-GB"/>
        </w:rPr>
        <w:t>[</w:t>
      </w:r>
      <w:bookmarkStart w:id="245" w:name="_Ref_cit_44"/>
      <w:r w:rsidRPr="00084E49">
        <w:rPr>
          <w:lang w:val="en-GB"/>
        </w:rPr>
        <w:t>44</w:t>
      </w:r>
      <w:bookmarkEnd w:id="245"/>
      <w:r w:rsidRPr="00084E49">
        <w:rPr>
          <w:lang w:val="en-GB"/>
        </w:rPr>
        <w:t>]</w:t>
      </w:r>
      <w:r w:rsidRPr="00084E49">
        <w:rPr>
          <w:lang w:val="en-GB"/>
        </w:rPr>
        <w:tab/>
        <w:t xml:space="preserve">“Home,” </w:t>
      </w:r>
      <w:proofErr w:type="spellStart"/>
      <w:r w:rsidRPr="00084E49">
        <w:rPr>
          <w:lang w:val="en-GB"/>
        </w:rPr>
        <w:t>SkySails</w:t>
      </w:r>
      <w:proofErr w:type="spellEnd"/>
      <w:r w:rsidRPr="00084E49">
        <w:rPr>
          <w:lang w:val="en-GB"/>
        </w:rPr>
        <w:t xml:space="preserve"> Marine. Accessed: Jul. 09, 2026. [Online]. Available: https://skysails-marine.com/</w:t>
      </w:r>
    </w:p>
    <w:p w14:paraId="0AB575C3" w14:textId="0608CE55" w:rsidR="00DE3C3C" w:rsidRPr="00E62BD7" w:rsidRDefault="003C7DFB" w:rsidP="00444B22">
      <w:pPr>
        <w:tabs>
          <w:tab w:val="left" w:pos="540"/>
        </w:tabs>
        <w:spacing w:after="60"/>
        <w:ind w:left="540" w:hanging="540"/>
        <w:jc w:val="both"/>
        <w:rPr>
          <w:lang w:val="en-GB"/>
        </w:rPr>
      </w:pPr>
      <w:r w:rsidRPr="00E62BD7">
        <w:rPr>
          <w:lang w:val="en-GB"/>
        </w:rPr>
        <w:lastRenderedPageBreak/>
        <w:t>[</w:t>
      </w:r>
      <w:bookmarkStart w:id="246" w:name="_Ref_cit_45"/>
      <w:r w:rsidRPr="00E62BD7">
        <w:rPr>
          <w:lang w:val="en-GB"/>
        </w:rPr>
        <w:t>45</w:t>
      </w:r>
      <w:bookmarkEnd w:id="246"/>
      <w:r w:rsidRPr="00E62BD7">
        <w:rPr>
          <w:lang w:val="en-GB"/>
        </w:rPr>
        <w:t>]</w:t>
      </w:r>
      <w:r w:rsidRPr="00E62BD7">
        <w:rPr>
          <w:lang w:val="en-GB"/>
        </w:rPr>
        <w:tab/>
        <w:t xml:space="preserve">T. </w:t>
      </w:r>
      <w:proofErr w:type="spellStart"/>
      <w:r w:rsidRPr="00E62BD7">
        <w:rPr>
          <w:lang w:val="en-GB"/>
        </w:rPr>
        <w:t>Plessas</w:t>
      </w:r>
      <w:proofErr w:type="spellEnd"/>
      <w:r w:rsidRPr="00E62BD7">
        <w:rPr>
          <w:lang w:val="en-GB"/>
        </w:rPr>
        <w:t xml:space="preserve"> and A. Papanikolaou, "Design </w:t>
      </w:r>
      <w:r w:rsidR="00C35EC6" w:rsidRPr="00E62BD7">
        <w:rPr>
          <w:lang w:val="en-GB"/>
        </w:rPr>
        <w:t>Optimisation</w:t>
      </w:r>
      <w:r w:rsidRPr="00E62BD7">
        <w:rPr>
          <w:lang w:val="en-GB"/>
        </w:rPr>
        <w:t xml:space="preserve"> and Assessment Platform for Wind-Assisted Ship Propulsion," J. Mar. Sci. Eng., vol. 13, no. 8, p. 1389, Jul. 2025, </w:t>
      </w:r>
      <w:proofErr w:type="spellStart"/>
      <w:r w:rsidRPr="00E62BD7">
        <w:rPr>
          <w:lang w:val="en-GB"/>
        </w:rPr>
        <w:t>doi</w:t>
      </w:r>
      <w:proofErr w:type="spellEnd"/>
      <w:r w:rsidRPr="00E62BD7">
        <w:rPr>
          <w:lang w:val="en-GB"/>
        </w:rPr>
        <w:t>: 10.3390/jmse13081389.</w:t>
      </w:r>
    </w:p>
    <w:p w14:paraId="5ADE3F3D" w14:textId="1B2CFB87" w:rsidR="005D709D" w:rsidRPr="001328E0" w:rsidRDefault="003C7DFB" w:rsidP="00444B22">
      <w:pPr>
        <w:pStyle w:val="ac"/>
        <w:spacing w:after="60"/>
        <w:rPr>
          <w:lang w:val="en-GB"/>
        </w:rPr>
      </w:pPr>
      <w:r w:rsidRPr="00E62BD7">
        <w:rPr>
          <w:lang w:val="en-GB"/>
        </w:rPr>
        <w:t>[</w:t>
      </w:r>
      <w:bookmarkStart w:id="247" w:name="_Ref_cit_46"/>
      <w:r w:rsidRPr="00E62BD7">
        <w:rPr>
          <w:lang w:val="en-GB"/>
        </w:rPr>
        <w:t>46</w:t>
      </w:r>
      <w:bookmarkEnd w:id="247"/>
      <w:r w:rsidRPr="00E62BD7">
        <w:rPr>
          <w:lang w:val="en-GB"/>
        </w:rPr>
        <w:t>]</w:t>
      </w:r>
      <w:r w:rsidRPr="00E62BD7">
        <w:rPr>
          <w:lang w:val="en-GB"/>
        </w:rPr>
        <w:tab/>
        <w:t xml:space="preserve">European Commission, "2025 Report from the European Commission on CO₂ emissions from maritime transport (2024 reporting year)," European Commission, Brussels, 2026. </w:t>
      </w:r>
      <w:r w:rsidRPr="001328E0">
        <w:rPr>
          <w:lang w:val="en-GB"/>
        </w:rPr>
        <w:t xml:space="preserve">[Online]. </w:t>
      </w:r>
      <w:r w:rsidR="005D709D" w:rsidRPr="001328E0">
        <w:rPr>
          <w:lang w:val="en-GB"/>
        </w:rPr>
        <w:t>Accessed: Sep. 19, 2026</w:t>
      </w:r>
    </w:p>
    <w:p w14:paraId="6E736AB1" w14:textId="200E3BB1" w:rsidR="00DE3C3C" w:rsidRPr="001328E0" w:rsidRDefault="005D709D" w:rsidP="00444B22">
      <w:pPr>
        <w:pStyle w:val="ac"/>
        <w:spacing w:after="60"/>
        <w:rPr>
          <w:lang w:val="en-GB"/>
        </w:rPr>
      </w:pPr>
      <w:r w:rsidRPr="001328E0">
        <w:rPr>
          <w:lang w:val="en-GB"/>
        </w:rPr>
        <w:tab/>
      </w:r>
      <w:proofErr w:type="gramStart"/>
      <w:r w:rsidR="003C7DFB" w:rsidRPr="001328E0">
        <w:rPr>
          <w:lang w:val="en-GB"/>
        </w:rPr>
        <w:t>Available:https://www.parlament.gv.at/dokument/XXVIII/EU/70108/imfname_11611198.pdf</w:t>
      </w:r>
      <w:proofErr w:type="gramEnd"/>
      <w:r w:rsidR="003C7DFB" w:rsidRPr="001328E0">
        <w:rPr>
          <w:lang w:val="en-GB"/>
        </w:rPr>
        <w:t>.</w:t>
      </w:r>
    </w:p>
    <w:p w14:paraId="5CD0F29F" w14:textId="77777777" w:rsidR="00DE3C3C" w:rsidRPr="00E62BD7" w:rsidRDefault="003C7DFB" w:rsidP="00444B22">
      <w:pPr>
        <w:pStyle w:val="ac"/>
        <w:spacing w:after="60"/>
        <w:rPr>
          <w:lang w:val="en-GB"/>
        </w:rPr>
      </w:pPr>
      <w:r w:rsidRPr="00E62BD7">
        <w:rPr>
          <w:lang w:val="en-GB"/>
        </w:rPr>
        <w:t>[</w:t>
      </w:r>
      <w:bookmarkStart w:id="248" w:name="_Ref_cit_47"/>
      <w:r w:rsidRPr="00E62BD7">
        <w:rPr>
          <w:lang w:val="en-GB"/>
        </w:rPr>
        <w:t>47</w:t>
      </w:r>
      <w:bookmarkEnd w:id="248"/>
      <w:r w:rsidRPr="00E62BD7">
        <w:rPr>
          <w:lang w:val="en-GB"/>
        </w:rPr>
        <w:t>]</w:t>
      </w:r>
      <w:r w:rsidRPr="00E62BD7">
        <w:rPr>
          <w:lang w:val="en-GB"/>
        </w:rPr>
        <w:tab/>
        <w:t>Regulation (EU) 2015/757 of the European Parliament and of the Council of 29 April 2015 on the monitoring, reporting and verification of carbon dioxide emissions from maritime transport, and amending Directive 2009/16/EC, Official Journal of the European Union, 2015.</w:t>
      </w:r>
    </w:p>
    <w:p w14:paraId="56F8B45F" w14:textId="77777777" w:rsidR="00DE3C3C" w:rsidRPr="00E62BD7" w:rsidRDefault="003C7DFB" w:rsidP="00444B22">
      <w:pPr>
        <w:pStyle w:val="ac"/>
        <w:spacing w:after="60"/>
        <w:rPr>
          <w:lang w:val="en-GB"/>
        </w:rPr>
      </w:pPr>
      <w:r w:rsidRPr="00E62BD7">
        <w:rPr>
          <w:lang w:val="en-GB"/>
        </w:rPr>
        <w:t>[</w:t>
      </w:r>
      <w:bookmarkStart w:id="249" w:name="_Ref_cit_48"/>
      <w:r w:rsidRPr="00E62BD7">
        <w:rPr>
          <w:lang w:val="en-GB"/>
        </w:rPr>
        <w:t>48</w:t>
      </w:r>
      <w:bookmarkEnd w:id="249"/>
      <w:r w:rsidRPr="00E62BD7">
        <w:rPr>
          <w:lang w:val="en-GB"/>
        </w:rPr>
        <w:t>]</w:t>
      </w:r>
      <w:r w:rsidRPr="00E62BD7">
        <w:rPr>
          <w:lang w:val="en-GB"/>
        </w:rPr>
        <w:tab/>
        <w:t>Regulation (EU) 2023/957 of the European Parliament and of the Council of 10 May 2023 amending Regulation (EU) 2015/757 in order to provide for the inclusion of maritime transport activities in the EU Emissions Trading System and for the monitoring, reporting and verification of additional greenhouse gases and emissions from additional ship types, Official Journal of the European Union, 2023.</w:t>
      </w:r>
    </w:p>
    <w:p w14:paraId="1E2C8EF5" w14:textId="77777777" w:rsidR="00DE3C3C" w:rsidRPr="00E62BD7" w:rsidRDefault="003C7DFB" w:rsidP="00444B22">
      <w:pPr>
        <w:pStyle w:val="ac"/>
        <w:spacing w:after="60"/>
        <w:rPr>
          <w:lang w:val="en-GB"/>
        </w:rPr>
      </w:pPr>
      <w:r w:rsidRPr="00E62BD7">
        <w:rPr>
          <w:lang w:val="en-GB"/>
        </w:rPr>
        <w:t>[</w:t>
      </w:r>
      <w:bookmarkStart w:id="250" w:name="_Ref_cit_49"/>
      <w:r w:rsidRPr="00E62BD7">
        <w:rPr>
          <w:lang w:val="en-GB"/>
        </w:rPr>
        <w:t>49</w:t>
      </w:r>
      <w:bookmarkEnd w:id="250"/>
      <w:r w:rsidRPr="00E62BD7">
        <w:rPr>
          <w:lang w:val="en-GB"/>
        </w:rPr>
        <w:t>]</w:t>
      </w:r>
      <w:r w:rsidRPr="00E62BD7">
        <w:rPr>
          <w:lang w:val="en-GB"/>
        </w:rPr>
        <w:tab/>
        <w:t>Directive (EU) 2023/959 of the European Parliament and of the Council of 10 May 2023 amending Directive 2003/87/EC establishing a system for greenhouse gas emission allowance trading within the Union, Official Journal of the European Union, 2023.</w:t>
      </w:r>
    </w:p>
    <w:p w14:paraId="2E751CCE" w14:textId="77777777" w:rsidR="00DE3C3C" w:rsidRPr="00E62BD7" w:rsidRDefault="003C7DFB" w:rsidP="00444B22">
      <w:pPr>
        <w:pStyle w:val="ac"/>
        <w:spacing w:after="60"/>
        <w:rPr>
          <w:lang w:val="en-GB"/>
        </w:rPr>
      </w:pPr>
      <w:r w:rsidRPr="00E62BD7">
        <w:rPr>
          <w:lang w:val="en-GB"/>
        </w:rPr>
        <w:t>[</w:t>
      </w:r>
      <w:bookmarkStart w:id="251" w:name="_Ref_cit_50"/>
      <w:r w:rsidRPr="00E62BD7">
        <w:rPr>
          <w:lang w:val="en-GB"/>
        </w:rPr>
        <w:t>50</w:t>
      </w:r>
      <w:bookmarkEnd w:id="251"/>
      <w:r w:rsidRPr="00E62BD7">
        <w:rPr>
          <w:lang w:val="en-GB"/>
        </w:rPr>
        <w:t>]</w:t>
      </w:r>
      <w:r w:rsidRPr="00E62BD7">
        <w:rPr>
          <w:lang w:val="en-GB"/>
        </w:rPr>
        <w:tab/>
        <w:t>Regulation (EU) 2023/1805 of the European Parliament and of the Council of 13 September 2023 on the use of renewable and low-carbon fuels in maritime transport (</w:t>
      </w:r>
      <w:proofErr w:type="spellStart"/>
      <w:r w:rsidRPr="00E62BD7">
        <w:rPr>
          <w:lang w:val="en-GB"/>
        </w:rPr>
        <w:t>FuelEU</w:t>
      </w:r>
      <w:proofErr w:type="spellEnd"/>
      <w:r w:rsidRPr="00E62BD7">
        <w:rPr>
          <w:lang w:val="en-GB"/>
        </w:rPr>
        <w:t xml:space="preserve"> Maritime), Official Journal of the European Union, 2023.</w:t>
      </w:r>
    </w:p>
    <w:p w14:paraId="5DDECF78" w14:textId="77777777" w:rsidR="00DE3C3C" w:rsidRPr="00E62BD7" w:rsidRDefault="003C7DFB" w:rsidP="00444B22">
      <w:pPr>
        <w:pStyle w:val="ac"/>
        <w:spacing w:after="60"/>
        <w:rPr>
          <w:lang w:val="en-GB"/>
        </w:rPr>
      </w:pPr>
      <w:r w:rsidRPr="00E62BD7">
        <w:rPr>
          <w:lang w:val="en-GB"/>
        </w:rPr>
        <w:t>[</w:t>
      </w:r>
      <w:bookmarkStart w:id="252" w:name="_Ref_cit_51"/>
      <w:r w:rsidRPr="00E62BD7">
        <w:rPr>
          <w:lang w:val="en-GB"/>
        </w:rPr>
        <w:t>51</w:t>
      </w:r>
      <w:bookmarkEnd w:id="252"/>
      <w:r w:rsidRPr="00E62BD7">
        <w:rPr>
          <w:lang w:val="en-GB"/>
        </w:rPr>
        <w:t>]</w:t>
      </w:r>
      <w:r w:rsidRPr="00E62BD7">
        <w:rPr>
          <w:lang w:val="en-GB"/>
        </w:rPr>
        <w:tab/>
        <w:t>"Reducing emissions from the shipping sector," European Commission, Climate Action. Accessed: Sep. 19, 2026. [Online]. Available: https://climate.ec.europa.eu/areas-action/transport-decarbonisation/reducing-emissions-shipping-sector_en</w:t>
      </w:r>
    </w:p>
    <w:p w14:paraId="47CA171E" w14:textId="77777777" w:rsidR="00DE3C3C" w:rsidRPr="00E62BD7" w:rsidRDefault="003C7DFB" w:rsidP="00444B22">
      <w:pPr>
        <w:pStyle w:val="ac"/>
        <w:spacing w:after="60"/>
        <w:rPr>
          <w:lang w:val="en-GB"/>
        </w:rPr>
      </w:pPr>
      <w:r w:rsidRPr="00E62BD7">
        <w:rPr>
          <w:lang w:val="en-GB"/>
        </w:rPr>
        <w:t>[</w:t>
      </w:r>
      <w:bookmarkStart w:id="253" w:name="_Ref_cit_52"/>
      <w:r w:rsidRPr="00E62BD7">
        <w:rPr>
          <w:lang w:val="en-GB"/>
        </w:rPr>
        <w:t>52</w:t>
      </w:r>
      <w:bookmarkEnd w:id="253"/>
      <w:r w:rsidRPr="00E62BD7">
        <w:rPr>
          <w:lang w:val="en-GB"/>
        </w:rPr>
        <w:t>]</w:t>
      </w:r>
      <w:r w:rsidRPr="00E62BD7">
        <w:rPr>
          <w:lang w:val="en-GB"/>
        </w:rPr>
        <w:tab/>
        <w:t xml:space="preserve">A. Seyhan, M. Bayraktar, O. Yüksel, and C. Sevgili, "Scenario-based LCOE assessment for bulk carriers within the scope of EU ETS encompassing Carbon Tax, Fuel Prices and GHG Emissions," Clim. Change, vol. 179, p. 16, Jan. 2026, </w:t>
      </w:r>
      <w:proofErr w:type="spellStart"/>
      <w:r w:rsidRPr="00E62BD7">
        <w:rPr>
          <w:lang w:val="en-GB"/>
        </w:rPr>
        <w:t>doi</w:t>
      </w:r>
      <w:proofErr w:type="spellEnd"/>
      <w:r w:rsidRPr="00E62BD7">
        <w:rPr>
          <w:lang w:val="en-GB"/>
        </w:rPr>
        <w:t>: 10.1007/s10584-026-04106-7.</w:t>
      </w:r>
    </w:p>
    <w:p w14:paraId="2EE5C2A6" w14:textId="77777777" w:rsidR="00DE3C3C" w:rsidRPr="00E62BD7" w:rsidRDefault="003C7DFB" w:rsidP="00444B22">
      <w:pPr>
        <w:pStyle w:val="ac"/>
        <w:spacing w:after="60"/>
        <w:rPr>
          <w:lang w:val="en-GB"/>
        </w:rPr>
      </w:pPr>
      <w:r w:rsidRPr="00E62BD7">
        <w:rPr>
          <w:lang w:val="en-GB"/>
        </w:rPr>
        <w:t>[</w:t>
      </w:r>
      <w:bookmarkStart w:id="254" w:name="_Ref_cit_53"/>
      <w:r w:rsidRPr="00E62BD7">
        <w:rPr>
          <w:lang w:val="en-GB"/>
        </w:rPr>
        <w:t>53</w:t>
      </w:r>
      <w:bookmarkEnd w:id="254"/>
      <w:r w:rsidRPr="00E62BD7">
        <w:rPr>
          <w:lang w:val="en-GB"/>
        </w:rPr>
        <w:t>]</w:t>
      </w:r>
      <w:r w:rsidRPr="00E62BD7">
        <w:rPr>
          <w:lang w:val="en-GB"/>
        </w:rPr>
        <w:tab/>
        <w:t>IMO, "Resolution MEPC.338(76): 2021 Guidelines on the operational carbon intensity reduction factors relative to reference lines (CII reduction factors guidelines, G3)," International Maritime Organization, London, 2021.</w:t>
      </w:r>
    </w:p>
    <w:p w14:paraId="3F693199" w14:textId="77777777" w:rsidR="00DE3C3C" w:rsidRPr="00E62BD7" w:rsidRDefault="003C7DFB" w:rsidP="00444B22">
      <w:pPr>
        <w:pStyle w:val="ac"/>
        <w:spacing w:after="60"/>
        <w:rPr>
          <w:lang w:val="en-GB"/>
        </w:rPr>
      </w:pPr>
      <w:r w:rsidRPr="00E62BD7">
        <w:rPr>
          <w:lang w:val="en-GB"/>
        </w:rPr>
        <w:t>[</w:t>
      </w:r>
      <w:bookmarkStart w:id="255" w:name="_Ref_cit_54"/>
      <w:r w:rsidRPr="00E62BD7">
        <w:rPr>
          <w:lang w:val="en-GB"/>
        </w:rPr>
        <w:t>54</w:t>
      </w:r>
      <w:bookmarkEnd w:id="255"/>
      <w:r w:rsidRPr="00E62BD7">
        <w:rPr>
          <w:lang w:val="en-GB"/>
        </w:rPr>
        <w:t>]</w:t>
      </w:r>
      <w:r w:rsidRPr="00E62BD7">
        <w:rPr>
          <w:lang w:val="en-GB"/>
        </w:rPr>
        <w:tab/>
        <w:t>"IMO MEPC 83: GHG requirements approved, taking effect from 2028," DNV, 2025. Accessed: Sep. 19, 2026. [Online]. Available: https://www.dnv.com/news/2025/imo-mepc-83-ghg-requirements-approved-taking-effect-from-2028/</w:t>
      </w:r>
    </w:p>
    <w:p w14:paraId="41A08583" w14:textId="77777777" w:rsidR="00DE3C3C" w:rsidRPr="00E62BD7" w:rsidRDefault="003C7DFB" w:rsidP="00444B22">
      <w:pPr>
        <w:pStyle w:val="ac"/>
        <w:spacing w:after="60"/>
        <w:rPr>
          <w:lang w:val="en-GB"/>
        </w:rPr>
      </w:pPr>
      <w:r w:rsidRPr="00E62BD7">
        <w:rPr>
          <w:lang w:val="en-GB"/>
        </w:rPr>
        <w:t>[</w:t>
      </w:r>
      <w:bookmarkStart w:id="256" w:name="_Ref_cit_55"/>
      <w:r w:rsidRPr="00E62BD7">
        <w:rPr>
          <w:lang w:val="en-GB"/>
        </w:rPr>
        <w:t>55</w:t>
      </w:r>
      <w:bookmarkEnd w:id="256"/>
      <w:r w:rsidRPr="00E62BD7">
        <w:rPr>
          <w:lang w:val="en-GB"/>
        </w:rPr>
        <w:t>]</w:t>
      </w:r>
      <w:r w:rsidRPr="00E62BD7">
        <w:rPr>
          <w:lang w:val="en-GB"/>
        </w:rPr>
        <w:tab/>
        <w:t>"IMO net-zero shipping talks to resume in 2026," International Maritime Organization. Accessed: Sep. 19, 2026. [Online]. Available: https://www.imo.org/en/mediacentre/pressbriefings/pages/imo-net-zero-shipping-talks-to-resume-in-2026.aspx</w:t>
      </w:r>
    </w:p>
    <w:p w14:paraId="462EBEA4" w14:textId="77777777" w:rsidR="00DE3C3C" w:rsidRPr="00E62BD7" w:rsidRDefault="003C7DFB" w:rsidP="00444B22">
      <w:pPr>
        <w:pStyle w:val="ac"/>
        <w:spacing w:after="60"/>
        <w:rPr>
          <w:lang w:val="en-GB"/>
        </w:rPr>
      </w:pPr>
      <w:r w:rsidRPr="00E62BD7">
        <w:rPr>
          <w:lang w:val="en-GB"/>
        </w:rPr>
        <w:t>[</w:t>
      </w:r>
      <w:bookmarkStart w:id="257" w:name="_Ref_cit_56"/>
      <w:r w:rsidRPr="00E62BD7">
        <w:rPr>
          <w:lang w:val="en-GB"/>
        </w:rPr>
        <w:t>56</w:t>
      </w:r>
      <w:bookmarkEnd w:id="257"/>
      <w:r w:rsidRPr="00E62BD7">
        <w:rPr>
          <w:lang w:val="en-GB"/>
        </w:rPr>
        <w:t>]</w:t>
      </w:r>
      <w:r w:rsidRPr="00E62BD7">
        <w:rPr>
          <w:lang w:val="en-GB"/>
        </w:rPr>
        <w:tab/>
        <w:t>"IMO MEPC 84: Revisiting the net-zero framework," DNV, 2026. Accessed: Sep. 19, 2026. [Online]. Available: https://www.dnv.com/news/2026/imo-mepc-84-revisiting-the-net-zero-framework/</w:t>
      </w:r>
    </w:p>
    <w:p w14:paraId="0A54816F" w14:textId="77777777" w:rsidR="00DE3C3C" w:rsidRPr="00E62BD7" w:rsidRDefault="003C7DFB" w:rsidP="00444B22">
      <w:pPr>
        <w:pStyle w:val="ac"/>
        <w:spacing w:after="60"/>
        <w:rPr>
          <w:lang w:val="en-GB"/>
        </w:rPr>
      </w:pPr>
      <w:r w:rsidRPr="00E62BD7">
        <w:rPr>
          <w:lang w:val="en-GB"/>
        </w:rPr>
        <w:lastRenderedPageBreak/>
        <w:t>[</w:t>
      </w:r>
      <w:bookmarkStart w:id="258" w:name="_Ref_cit_57"/>
      <w:r w:rsidRPr="00E62BD7">
        <w:rPr>
          <w:lang w:val="en-GB"/>
        </w:rPr>
        <w:t>57</w:t>
      </w:r>
      <w:bookmarkEnd w:id="258"/>
      <w:r w:rsidRPr="00E62BD7">
        <w:rPr>
          <w:lang w:val="en-GB"/>
        </w:rPr>
        <w:t>]</w:t>
      </w:r>
      <w:r w:rsidRPr="00E62BD7">
        <w:rPr>
          <w:lang w:val="en-GB"/>
        </w:rPr>
        <w:tab/>
        <w:t>"IMO Net-Zero Framework: MEPC 84 Advances Negotiations Amid Political Headwinds," The National Law Review. Accessed: Sep. 19, 2026. [Online]. Available: https://natlawreview.com/article/imo-net-zero-framework-mepc-84-advances-negotiations-amid-political-headwinds</w:t>
      </w:r>
    </w:p>
    <w:p w14:paraId="66F6295B" w14:textId="77777777" w:rsidR="00DE3C3C" w:rsidRPr="00E62BD7" w:rsidRDefault="003C7DFB" w:rsidP="00444B22">
      <w:pPr>
        <w:pStyle w:val="ac"/>
        <w:spacing w:after="60"/>
        <w:rPr>
          <w:lang w:val="en-GB"/>
        </w:rPr>
      </w:pPr>
      <w:r w:rsidRPr="00E62BD7">
        <w:rPr>
          <w:lang w:val="en-GB"/>
        </w:rPr>
        <w:t>[</w:t>
      </w:r>
      <w:bookmarkStart w:id="259" w:name="_Ref_cit_58"/>
      <w:r w:rsidRPr="00E62BD7">
        <w:rPr>
          <w:lang w:val="en-GB"/>
        </w:rPr>
        <w:t>58</w:t>
      </w:r>
      <w:bookmarkEnd w:id="259"/>
      <w:r w:rsidRPr="00E62BD7">
        <w:rPr>
          <w:lang w:val="en-GB"/>
        </w:rPr>
        <w:t>]</w:t>
      </w:r>
      <w:r w:rsidRPr="00E62BD7">
        <w:rPr>
          <w:lang w:val="en-GB"/>
        </w:rPr>
        <w:tab/>
        <w:t xml:space="preserve">"Unlocking </w:t>
      </w:r>
      <w:proofErr w:type="spellStart"/>
      <w:r w:rsidRPr="00E62BD7">
        <w:rPr>
          <w:lang w:val="en-GB"/>
        </w:rPr>
        <w:t>FuelEU</w:t>
      </w:r>
      <w:proofErr w:type="spellEnd"/>
      <w:r w:rsidRPr="00E62BD7">
        <w:rPr>
          <w:lang w:val="en-GB"/>
        </w:rPr>
        <w:t xml:space="preserve"> Maritime compliance with wind," bound4blue. Accessed: Sep. 19, 2026. [Online]. Available: https://bound4blue.com/fueleu-maritime-compliance-with-wind/</w:t>
      </w:r>
    </w:p>
    <w:p w14:paraId="27A7B4C5" w14:textId="77777777" w:rsidR="00444B22" w:rsidRPr="00B0043E" w:rsidRDefault="003C7DFB" w:rsidP="00444B22">
      <w:pPr>
        <w:pStyle w:val="ac"/>
        <w:rPr>
          <w:lang w:val="en-US"/>
        </w:rPr>
      </w:pPr>
      <w:r w:rsidRPr="00E62BD7">
        <w:rPr>
          <w:lang w:val="en-GB"/>
        </w:rPr>
        <w:t>[</w:t>
      </w:r>
      <w:bookmarkStart w:id="260" w:name="_Ref_cit_59"/>
      <w:r w:rsidRPr="00E62BD7">
        <w:rPr>
          <w:lang w:val="en-GB"/>
        </w:rPr>
        <w:t>59</w:t>
      </w:r>
      <w:bookmarkEnd w:id="260"/>
      <w:r w:rsidRPr="00E62BD7">
        <w:rPr>
          <w:lang w:val="en-GB"/>
        </w:rPr>
        <w:t>]</w:t>
      </w:r>
      <w:r w:rsidRPr="00E62BD7">
        <w:rPr>
          <w:lang w:val="en-GB"/>
        </w:rPr>
        <w:tab/>
        <w:t xml:space="preserve">"Consideration for Retrofitting Wind-assisted Propulsion Technology Under </w:t>
      </w:r>
      <w:proofErr w:type="spellStart"/>
      <w:r w:rsidRPr="00E62BD7">
        <w:rPr>
          <w:lang w:val="en-GB"/>
        </w:rPr>
        <w:t>FuelEU</w:t>
      </w:r>
      <w:proofErr w:type="spellEnd"/>
      <w:r w:rsidRPr="00E62BD7">
        <w:rPr>
          <w:lang w:val="en-GB"/>
        </w:rPr>
        <w:t xml:space="preserve"> Maritime Regulations," China Classification Society, Jun. 2025. Accessed: Sep. 19, 2026. [Online]. Available:</w:t>
      </w:r>
    </w:p>
    <w:p w14:paraId="0C9D8471" w14:textId="2C55F034" w:rsidR="00DE3C3C" w:rsidRPr="00B0043E" w:rsidRDefault="00444B22" w:rsidP="00444B22">
      <w:pPr>
        <w:pStyle w:val="ac"/>
        <w:spacing w:after="60"/>
        <w:rPr>
          <w:lang w:val="en-US"/>
        </w:rPr>
      </w:pPr>
      <w:r w:rsidRPr="00B0043E">
        <w:rPr>
          <w:lang w:val="en-US"/>
        </w:rPr>
        <w:t xml:space="preserve">         </w:t>
      </w:r>
      <w:r w:rsidR="003C7DFB" w:rsidRPr="00B0043E">
        <w:rPr>
          <w:lang w:val="en-US"/>
        </w:rPr>
        <w:t xml:space="preserve"> </w:t>
      </w:r>
      <w:r w:rsidR="003C7DFB" w:rsidRPr="00E62BD7">
        <w:rPr>
          <w:lang w:val="en-GB"/>
        </w:rPr>
        <w:t>https</w:t>
      </w:r>
      <w:r w:rsidR="003C7DFB" w:rsidRPr="00B0043E">
        <w:rPr>
          <w:lang w:val="en-US"/>
        </w:rPr>
        <w:t>://</w:t>
      </w:r>
      <w:r w:rsidR="003C7DFB" w:rsidRPr="00E62BD7">
        <w:rPr>
          <w:lang w:val="en-GB"/>
        </w:rPr>
        <w:t>www</w:t>
      </w:r>
      <w:r w:rsidR="003C7DFB" w:rsidRPr="00B0043E">
        <w:rPr>
          <w:lang w:val="en-US"/>
        </w:rPr>
        <w:t>.</w:t>
      </w:r>
      <w:r w:rsidR="003C7DFB" w:rsidRPr="00E62BD7">
        <w:rPr>
          <w:lang w:val="en-GB"/>
        </w:rPr>
        <w:t>ccs</w:t>
      </w:r>
      <w:r w:rsidR="003C7DFB" w:rsidRPr="00B0043E">
        <w:rPr>
          <w:lang w:val="en-US"/>
        </w:rPr>
        <w:t>.</w:t>
      </w:r>
      <w:r w:rsidR="003C7DFB" w:rsidRPr="00E62BD7">
        <w:rPr>
          <w:lang w:val="en-GB"/>
        </w:rPr>
        <w:t>org</w:t>
      </w:r>
      <w:r w:rsidR="003C7DFB" w:rsidRPr="00B0043E">
        <w:rPr>
          <w:lang w:val="en-US"/>
        </w:rPr>
        <w:t>.</w:t>
      </w:r>
      <w:proofErr w:type="spellStart"/>
      <w:r w:rsidR="003C7DFB" w:rsidRPr="00E62BD7">
        <w:rPr>
          <w:lang w:val="en-GB"/>
        </w:rPr>
        <w:t>cn</w:t>
      </w:r>
      <w:proofErr w:type="spellEnd"/>
      <w:r w:rsidR="003C7DFB" w:rsidRPr="00B0043E">
        <w:rPr>
          <w:lang w:val="en-US"/>
        </w:rPr>
        <w:t>/</w:t>
      </w:r>
      <w:proofErr w:type="spellStart"/>
      <w:r w:rsidR="003C7DFB" w:rsidRPr="00E62BD7">
        <w:rPr>
          <w:lang w:val="en-GB"/>
        </w:rPr>
        <w:t>ccswzen</w:t>
      </w:r>
      <w:proofErr w:type="spellEnd"/>
      <w:r w:rsidR="003C7DFB" w:rsidRPr="00B0043E">
        <w:rPr>
          <w:lang w:val="en-US"/>
        </w:rPr>
        <w:t>/</w:t>
      </w:r>
      <w:proofErr w:type="spellStart"/>
      <w:r w:rsidR="003C7DFB" w:rsidRPr="00E62BD7">
        <w:rPr>
          <w:lang w:val="en-GB"/>
        </w:rPr>
        <w:t>articleDetail</w:t>
      </w:r>
      <w:proofErr w:type="spellEnd"/>
      <w:r w:rsidR="003C7DFB" w:rsidRPr="00B0043E">
        <w:rPr>
          <w:lang w:val="en-US"/>
        </w:rPr>
        <w:t>?</w:t>
      </w:r>
      <w:r w:rsidR="003C7DFB" w:rsidRPr="00E62BD7">
        <w:rPr>
          <w:lang w:val="en-GB"/>
        </w:rPr>
        <w:t>id</w:t>
      </w:r>
      <w:r w:rsidR="003C7DFB" w:rsidRPr="00B0043E">
        <w:rPr>
          <w:lang w:val="en-US"/>
        </w:rPr>
        <w:t>=202506130231817072</w:t>
      </w:r>
    </w:p>
    <w:p w14:paraId="11EEAA9C" w14:textId="77777777" w:rsidR="00DE3C3C" w:rsidRPr="00E62BD7" w:rsidRDefault="003C7DFB" w:rsidP="00444B22">
      <w:pPr>
        <w:pStyle w:val="ac"/>
        <w:spacing w:after="60"/>
        <w:rPr>
          <w:lang w:val="en-GB"/>
        </w:rPr>
      </w:pPr>
      <w:r w:rsidRPr="00E62BD7">
        <w:rPr>
          <w:lang w:val="en-GB"/>
        </w:rPr>
        <w:t>[</w:t>
      </w:r>
      <w:bookmarkStart w:id="261" w:name="_Ref_cit_60"/>
      <w:r w:rsidRPr="00E62BD7">
        <w:rPr>
          <w:lang w:val="en-GB"/>
        </w:rPr>
        <w:t>60</w:t>
      </w:r>
      <w:bookmarkEnd w:id="261"/>
      <w:r w:rsidRPr="00E62BD7">
        <w:rPr>
          <w:lang w:val="en-GB"/>
        </w:rPr>
        <w:t>]</w:t>
      </w:r>
      <w:r w:rsidRPr="00E62BD7">
        <w:rPr>
          <w:lang w:val="en-GB"/>
        </w:rPr>
        <w:tab/>
        <w:t>T. W. P. Smith et al., Fourth IMO Greenhouse Gas Study 2020. London: International Maritime Organization, 2020.</w:t>
      </w:r>
    </w:p>
    <w:p w14:paraId="0C13E80F" w14:textId="77777777" w:rsidR="00DE3C3C" w:rsidRPr="00E62BD7" w:rsidRDefault="003C7DFB" w:rsidP="00444B22">
      <w:pPr>
        <w:pStyle w:val="ac"/>
        <w:spacing w:after="60"/>
        <w:rPr>
          <w:lang w:val="en-GB"/>
        </w:rPr>
      </w:pPr>
      <w:r w:rsidRPr="00E62BD7">
        <w:rPr>
          <w:lang w:val="en-GB"/>
        </w:rPr>
        <w:t>[</w:t>
      </w:r>
      <w:bookmarkStart w:id="262" w:name="_Ref_cit_61"/>
      <w:r w:rsidRPr="00E62BD7">
        <w:rPr>
          <w:lang w:val="en-GB"/>
        </w:rPr>
        <w:t>61</w:t>
      </w:r>
      <w:bookmarkEnd w:id="262"/>
      <w:r w:rsidRPr="00E62BD7">
        <w:rPr>
          <w:lang w:val="en-GB"/>
        </w:rPr>
        <w:t>]</w:t>
      </w:r>
      <w:r w:rsidRPr="00E62BD7">
        <w:rPr>
          <w:lang w:val="en-GB"/>
        </w:rPr>
        <w:tab/>
        <w:t>"</w:t>
      </w:r>
      <w:proofErr w:type="spellStart"/>
      <w:r w:rsidRPr="00E62BD7">
        <w:rPr>
          <w:lang w:val="en-GB"/>
        </w:rPr>
        <w:t>FuelEU</w:t>
      </w:r>
      <w:proofErr w:type="spellEnd"/>
      <w:r w:rsidRPr="00E62BD7">
        <w:rPr>
          <w:lang w:val="en-GB"/>
        </w:rPr>
        <w:t xml:space="preserve"> Maritime," Sustainable Ships. Accessed: Sep. 19, 2026. [Online]. Available: https://www.sustainable-ships.org/rules-regulations/fueleu</w:t>
      </w:r>
    </w:p>
    <w:p w14:paraId="72BA4291" w14:textId="77777777" w:rsidR="00DE3C3C" w:rsidRPr="00E62BD7" w:rsidRDefault="003C7DFB" w:rsidP="00444B22">
      <w:pPr>
        <w:pStyle w:val="ac"/>
        <w:spacing w:after="60"/>
        <w:rPr>
          <w:lang w:val="en-GB"/>
        </w:rPr>
      </w:pPr>
      <w:r w:rsidRPr="00E62BD7">
        <w:rPr>
          <w:lang w:val="en-GB"/>
        </w:rPr>
        <w:t>[</w:t>
      </w:r>
      <w:bookmarkStart w:id="263" w:name="_Ref_cit_62"/>
      <w:r w:rsidRPr="00E62BD7">
        <w:rPr>
          <w:lang w:val="en-GB"/>
        </w:rPr>
        <w:t>62</w:t>
      </w:r>
      <w:bookmarkEnd w:id="263"/>
      <w:r w:rsidRPr="00E62BD7">
        <w:rPr>
          <w:lang w:val="en-GB"/>
        </w:rPr>
        <w:t>]</w:t>
      </w:r>
      <w:r w:rsidRPr="00E62BD7">
        <w:rPr>
          <w:lang w:val="en-GB"/>
        </w:rPr>
        <w:tab/>
        <w:t xml:space="preserve">"Wind-assisted propulsion under </w:t>
      </w:r>
      <w:proofErr w:type="spellStart"/>
      <w:r w:rsidRPr="00E62BD7">
        <w:rPr>
          <w:lang w:val="en-GB"/>
        </w:rPr>
        <w:t>FuelEU</w:t>
      </w:r>
      <w:proofErr w:type="spellEnd"/>
      <w:r w:rsidRPr="00E62BD7">
        <w:rPr>
          <w:lang w:val="en-GB"/>
        </w:rPr>
        <w:t xml:space="preserve"> Maritime: why the calculation deserves a closer look," Better Sea. Accessed: Sep. 19, 2026. [Online]. Available: https://www.bettersea.tech/post/wind-assisted-propulsion-under-fueleu-maritime-why-the-calculation-deserves-a-closer-look</w:t>
      </w:r>
    </w:p>
    <w:p w14:paraId="6E989A93" w14:textId="77777777" w:rsidR="00DE3C3C" w:rsidRPr="00E62BD7" w:rsidRDefault="003C7DFB" w:rsidP="00444B22">
      <w:pPr>
        <w:pStyle w:val="ac"/>
        <w:spacing w:after="60"/>
        <w:rPr>
          <w:lang w:val="en-GB"/>
        </w:rPr>
      </w:pPr>
      <w:r w:rsidRPr="00E62BD7">
        <w:rPr>
          <w:lang w:val="en-GB"/>
        </w:rPr>
        <w:t>[</w:t>
      </w:r>
      <w:bookmarkStart w:id="264" w:name="_Ref_cit_63"/>
      <w:r w:rsidRPr="00E62BD7">
        <w:rPr>
          <w:lang w:val="en-GB"/>
        </w:rPr>
        <w:t>63</w:t>
      </w:r>
      <w:bookmarkEnd w:id="264"/>
      <w:r w:rsidRPr="00E62BD7">
        <w:rPr>
          <w:lang w:val="en-GB"/>
        </w:rPr>
        <w:t>]</w:t>
      </w:r>
      <w:r w:rsidRPr="00E62BD7">
        <w:rPr>
          <w:lang w:val="en-GB"/>
        </w:rPr>
        <w:tab/>
        <w:t>M. Stathopoulou, "Performance Evaluation of a Wind Assisted Propulsion System," Diploma thesis, School of Naval Architecture and Marine Engineering, National Technical University of Athens, Athens, 2026.</w:t>
      </w:r>
    </w:p>
    <w:p w14:paraId="6F6EFACD" w14:textId="77777777" w:rsidR="00DE3C3C" w:rsidRPr="00E62BD7" w:rsidRDefault="003C7DFB" w:rsidP="00444B22">
      <w:pPr>
        <w:pStyle w:val="ac"/>
        <w:spacing w:after="60"/>
        <w:rPr>
          <w:lang w:val="en-GB"/>
        </w:rPr>
      </w:pPr>
      <w:r w:rsidRPr="00E62BD7">
        <w:rPr>
          <w:lang w:val="en-GB"/>
        </w:rPr>
        <w:t>[</w:t>
      </w:r>
      <w:bookmarkStart w:id="265" w:name="_Ref_cit_64"/>
      <w:r w:rsidRPr="00E62BD7">
        <w:rPr>
          <w:lang w:val="en-GB"/>
        </w:rPr>
        <w:t>64</w:t>
      </w:r>
      <w:bookmarkEnd w:id="265"/>
      <w:r w:rsidRPr="00E62BD7">
        <w:rPr>
          <w:lang w:val="en-GB"/>
        </w:rPr>
        <w:t>]</w:t>
      </w:r>
      <w:r w:rsidRPr="00E62BD7">
        <w:rPr>
          <w:lang w:val="en-GB"/>
        </w:rPr>
        <w:tab/>
        <w:t xml:space="preserve">Z. Peng, Y. Zhao, T. </w:t>
      </w:r>
      <w:proofErr w:type="spellStart"/>
      <w:r w:rsidRPr="00E62BD7">
        <w:rPr>
          <w:lang w:val="en-GB"/>
        </w:rPr>
        <w:t>Notteboom</w:t>
      </w:r>
      <w:proofErr w:type="spellEnd"/>
      <w:r w:rsidRPr="00E62BD7">
        <w:rPr>
          <w:lang w:val="en-GB"/>
        </w:rPr>
        <w:t>, and J. Zhou, "Pathways to zero-carbon shipping: Life cycle assessment of energy transition system configurations for container ships," Ocean Eng., vol. 352, p. 124506, 2026.</w:t>
      </w:r>
    </w:p>
    <w:p w14:paraId="4A2BC38D" w14:textId="77777777" w:rsidR="006C4C83" w:rsidRPr="0042410A" w:rsidRDefault="001A2FEB" w:rsidP="00444B22">
      <w:pPr>
        <w:pStyle w:val="ac"/>
        <w:spacing w:after="60"/>
        <w:rPr>
          <w:lang w:val="en-GB"/>
        </w:rPr>
      </w:pPr>
      <w:r w:rsidRPr="0042410A">
        <w:rPr>
          <w:lang w:val="en-GB"/>
        </w:rPr>
        <w:t>[</w:t>
      </w:r>
      <w:bookmarkStart w:id="266" w:name="_Ref_cit_65"/>
      <w:r w:rsidRPr="0042410A">
        <w:rPr>
          <w:lang w:val="en-GB"/>
        </w:rPr>
        <w:t>65</w:t>
      </w:r>
      <w:bookmarkEnd w:id="266"/>
      <w:r w:rsidRPr="0042410A">
        <w:rPr>
          <w:lang w:val="en-GB"/>
        </w:rPr>
        <w:t>]</w:t>
      </w:r>
      <w:r w:rsidRPr="0042410A">
        <w:rPr>
          <w:lang w:val="en-GB"/>
        </w:rPr>
        <w:tab/>
        <w:t xml:space="preserve">T. </w:t>
      </w:r>
      <w:proofErr w:type="spellStart"/>
      <w:r w:rsidRPr="0042410A">
        <w:rPr>
          <w:lang w:val="en-GB"/>
        </w:rPr>
        <w:t>Plessas</w:t>
      </w:r>
      <w:proofErr w:type="spellEnd"/>
      <w:r w:rsidRPr="0042410A">
        <w:rPr>
          <w:lang w:val="en-GB"/>
        </w:rPr>
        <w:t xml:space="preserve"> and A. Papanikolaou, "Multi-Objective Optimization of Ship Design for the Effect of Wind Propulsion," J. Mar. Sci. Eng., vol. 13, no. 1, p. 167, Jan. 2025, </w:t>
      </w:r>
      <w:proofErr w:type="spellStart"/>
      <w:r w:rsidRPr="0042410A">
        <w:rPr>
          <w:lang w:val="en-GB"/>
        </w:rPr>
        <w:t>doi</w:t>
      </w:r>
      <w:proofErr w:type="spellEnd"/>
      <w:r w:rsidRPr="0042410A">
        <w:rPr>
          <w:lang w:val="en-GB"/>
        </w:rPr>
        <w:t>: 10.3390/jmse13010167.</w:t>
      </w:r>
    </w:p>
    <w:p w14:paraId="0BF9D5BD" w14:textId="77777777" w:rsidR="006C4C83" w:rsidRPr="0042410A" w:rsidRDefault="001A2FEB" w:rsidP="00444B22">
      <w:pPr>
        <w:pStyle w:val="ac"/>
        <w:spacing w:after="60"/>
        <w:rPr>
          <w:lang w:val="en-GB"/>
        </w:rPr>
      </w:pPr>
      <w:r w:rsidRPr="0042410A">
        <w:rPr>
          <w:lang w:val="en-GB"/>
        </w:rPr>
        <w:t>[</w:t>
      </w:r>
      <w:bookmarkStart w:id="267" w:name="_Ref_cit_66"/>
      <w:r w:rsidRPr="0042410A">
        <w:rPr>
          <w:lang w:val="en-GB"/>
        </w:rPr>
        <w:t>66</w:t>
      </w:r>
      <w:bookmarkEnd w:id="267"/>
      <w:r w:rsidRPr="0042410A">
        <w:rPr>
          <w:lang w:val="en-GB"/>
        </w:rPr>
        <w:t>]</w:t>
      </w:r>
      <w:r w:rsidRPr="0042410A">
        <w:rPr>
          <w:lang w:val="en-GB"/>
        </w:rPr>
        <w:tab/>
        <w:t xml:space="preserve">F. </w:t>
      </w:r>
      <w:proofErr w:type="spellStart"/>
      <w:r w:rsidRPr="0042410A">
        <w:rPr>
          <w:lang w:val="en-GB"/>
        </w:rPr>
        <w:t>Tillig</w:t>
      </w:r>
      <w:proofErr w:type="spellEnd"/>
      <w:r w:rsidRPr="0042410A">
        <w:rPr>
          <w:lang w:val="en-GB"/>
        </w:rPr>
        <w:t xml:space="preserve"> and J. W. </w:t>
      </w:r>
      <w:proofErr w:type="spellStart"/>
      <w:r w:rsidRPr="0042410A">
        <w:rPr>
          <w:lang w:val="en-GB"/>
        </w:rPr>
        <w:t>Ringsberg</w:t>
      </w:r>
      <w:proofErr w:type="spellEnd"/>
      <w:r w:rsidRPr="0042410A">
        <w:rPr>
          <w:lang w:val="en-GB"/>
        </w:rPr>
        <w:t xml:space="preserve">, "Design, operation and analysis of wind-assisted cargo ships," Ocean Eng., vol. 211, p. 107603, Sep. 2020, </w:t>
      </w:r>
      <w:proofErr w:type="spellStart"/>
      <w:r w:rsidRPr="0042410A">
        <w:rPr>
          <w:lang w:val="en-GB"/>
        </w:rPr>
        <w:t>doi</w:t>
      </w:r>
      <w:proofErr w:type="spellEnd"/>
      <w:r w:rsidRPr="0042410A">
        <w:rPr>
          <w:lang w:val="en-GB"/>
        </w:rPr>
        <w:t>: 10.1016/j.oceaneng.2020.107603.</w:t>
      </w:r>
    </w:p>
    <w:p w14:paraId="0A895B27" w14:textId="77777777" w:rsidR="006C4C83" w:rsidRPr="0042410A" w:rsidRDefault="001A2FEB" w:rsidP="00444B22">
      <w:pPr>
        <w:pStyle w:val="ac"/>
        <w:spacing w:after="60"/>
        <w:rPr>
          <w:lang w:val="en-GB"/>
        </w:rPr>
      </w:pPr>
      <w:r w:rsidRPr="0042410A">
        <w:rPr>
          <w:lang w:val="en-GB"/>
        </w:rPr>
        <w:t>[</w:t>
      </w:r>
      <w:bookmarkStart w:id="268" w:name="_Ref_cit_67"/>
      <w:r w:rsidRPr="0042410A">
        <w:rPr>
          <w:lang w:val="en-GB"/>
        </w:rPr>
        <w:t>67</w:t>
      </w:r>
      <w:bookmarkEnd w:id="268"/>
      <w:r w:rsidRPr="0042410A">
        <w:rPr>
          <w:lang w:val="en-GB"/>
        </w:rPr>
        <w:t>]</w:t>
      </w:r>
      <w:r w:rsidRPr="0042410A">
        <w:rPr>
          <w:lang w:val="en-GB"/>
        </w:rPr>
        <w:tab/>
        <w:t xml:space="preserve">N. van der Kolk, G. Bordogna, J. C. Mason, P. </w:t>
      </w:r>
      <w:proofErr w:type="spellStart"/>
      <w:r w:rsidRPr="0042410A">
        <w:rPr>
          <w:lang w:val="en-GB"/>
        </w:rPr>
        <w:t>Desprairies</w:t>
      </w:r>
      <w:proofErr w:type="spellEnd"/>
      <w:r w:rsidRPr="0042410A">
        <w:rPr>
          <w:lang w:val="en-GB"/>
        </w:rPr>
        <w:t xml:space="preserve">, and A. </w:t>
      </w:r>
      <w:proofErr w:type="spellStart"/>
      <w:r w:rsidRPr="0042410A">
        <w:rPr>
          <w:lang w:val="en-GB"/>
        </w:rPr>
        <w:t>Vrijdag</w:t>
      </w:r>
      <w:proofErr w:type="spellEnd"/>
      <w:r w:rsidRPr="0042410A">
        <w:rPr>
          <w:lang w:val="en-GB"/>
        </w:rPr>
        <w:t>, "Case study: Wind-assisted ship propulsion performance prediction, routing, and economic modelling," in Proc. Int. Conf. Power &amp; Propulsion Alternatives for Ships, RINA, London, UK, Jan. 2019.</w:t>
      </w:r>
    </w:p>
    <w:p w14:paraId="527A9014" w14:textId="77777777" w:rsidR="006C4C83" w:rsidRPr="0042410A" w:rsidRDefault="001A2FEB" w:rsidP="00444B22">
      <w:pPr>
        <w:pStyle w:val="ac"/>
        <w:spacing w:after="60"/>
        <w:rPr>
          <w:lang w:val="en-GB"/>
        </w:rPr>
      </w:pPr>
      <w:r w:rsidRPr="0042410A">
        <w:rPr>
          <w:lang w:val="en-GB"/>
        </w:rPr>
        <w:t>[</w:t>
      </w:r>
      <w:bookmarkStart w:id="269" w:name="_Ref_cit_68"/>
      <w:r w:rsidRPr="0042410A">
        <w:rPr>
          <w:lang w:val="en-GB"/>
        </w:rPr>
        <w:t>68</w:t>
      </w:r>
      <w:bookmarkEnd w:id="269"/>
      <w:r w:rsidRPr="0042410A">
        <w:rPr>
          <w:lang w:val="en-GB"/>
        </w:rPr>
        <w:t>]</w:t>
      </w:r>
      <w:r w:rsidRPr="0042410A">
        <w:rPr>
          <w:lang w:val="en-GB"/>
        </w:rPr>
        <w:tab/>
        <w:t xml:space="preserve">F. </w:t>
      </w:r>
      <w:proofErr w:type="spellStart"/>
      <w:r w:rsidRPr="0042410A">
        <w:rPr>
          <w:lang w:val="en-GB"/>
        </w:rPr>
        <w:t>Tillig</w:t>
      </w:r>
      <w:proofErr w:type="spellEnd"/>
      <w:r w:rsidRPr="0042410A">
        <w:rPr>
          <w:lang w:val="en-GB"/>
        </w:rPr>
        <w:t xml:space="preserve">, J. W. </w:t>
      </w:r>
      <w:proofErr w:type="spellStart"/>
      <w:r w:rsidRPr="0042410A">
        <w:rPr>
          <w:lang w:val="en-GB"/>
        </w:rPr>
        <w:t>Ringsberg</w:t>
      </w:r>
      <w:proofErr w:type="spellEnd"/>
      <w:r w:rsidRPr="0042410A">
        <w:rPr>
          <w:lang w:val="en-GB"/>
        </w:rPr>
        <w:t xml:space="preserve">, H. N. </w:t>
      </w:r>
      <w:proofErr w:type="spellStart"/>
      <w:r w:rsidRPr="0042410A">
        <w:rPr>
          <w:lang w:val="en-GB"/>
        </w:rPr>
        <w:t>Psaraftis</w:t>
      </w:r>
      <w:proofErr w:type="spellEnd"/>
      <w:r w:rsidRPr="0042410A">
        <w:rPr>
          <w:lang w:val="en-GB"/>
        </w:rPr>
        <w:t xml:space="preserve">, and T. Zis, "Reduced environmental impact of marine transport through speed reduction and wind assisted propulsion," Transp. Res. Part D Transp. Environ., vol. 83, p. 102380, 2020, </w:t>
      </w:r>
      <w:proofErr w:type="spellStart"/>
      <w:r w:rsidRPr="0042410A">
        <w:rPr>
          <w:lang w:val="en-GB"/>
        </w:rPr>
        <w:t>doi</w:t>
      </w:r>
      <w:proofErr w:type="spellEnd"/>
      <w:r w:rsidRPr="0042410A">
        <w:rPr>
          <w:lang w:val="en-GB"/>
        </w:rPr>
        <w:t>: 10.1016/j.trd.2020.102380.</w:t>
      </w:r>
    </w:p>
    <w:p w14:paraId="42F62FD9" w14:textId="77777777" w:rsidR="006C4C83" w:rsidRPr="0042410A" w:rsidRDefault="001A2FEB" w:rsidP="00444B22">
      <w:pPr>
        <w:pStyle w:val="ac"/>
        <w:spacing w:after="60"/>
        <w:rPr>
          <w:lang w:val="en-GB"/>
        </w:rPr>
      </w:pPr>
      <w:r w:rsidRPr="0042410A">
        <w:rPr>
          <w:lang w:val="en-GB"/>
        </w:rPr>
        <w:t>[</w:t>
      </w:r>
      <w:bookmarkStart w:id="270" w:name="_Ref_cit_69"/>
      <w:r w:rsidRPr="0042410A">
        <w:rPr>
          <w:lang w:val="en-GB"/>
        </w:rPr>
        <w:t>69</w:t>
      </w:r>
      <w:bookmarkEnd w:id="270"/>
      <w:r w:rsidRPr="0042410A">
        <w:rPr>
          <w:lang w:val="en-GB"/>
        </w:rPr>
        <w:t>]</w:t>
      </w:r>
      <w:r w:rsidRPr="0042410A">
        <w:rPr>
          <w:lang w:val="en-GB"/>
        </w:rPr>
        <w:tab/>
        <w:t xml:space="preserve">I. S. </w:t>
      </w:r>
      <w:proofErr w:type="spellStart"/>
      <w:r w:rsidRPr="0042410A">
        <w:rPr>
          <w:lang w:val="en-GB"/>
        </w:rPr>
        <w:t>Seddiek</w:t>
      </w:r>
      <w:proofErr w:type="spellEnd"/>
      <w:r w:rsidRPr="0042410A">
        <w:rPr>
          <w:lang w:val="en-GB"/>
        </w:rPr>
        <w:t xml:space="preserve"> and N. R. Ammar, "Harnessing wind energy on merchant ships: case study </w:t>
      </w:r>
      <w:proofErr w:type="spellStart"/>
      <w:r w:rsidRPr="0042410A">
        <w:rPr>
          <w:lang w:val="en-GB"/>
        </w:rPr>
        <w:t>Flettner</w:t>
      </w:r>
      <w:proofErr w:type="spellEnd"/>
      <w:r w:rsidRPr="0042410A">
        <w:rPr>
          <w:lang w:val="en-GB"/>
        </w:rPr>
        <w:t xml:space="preserve"> rotors onboard bulk carriers," Environ. Sci. </w:t>
      </w:r>
      <w:proofErr w:type="spellStart"/>
      <w:r w:rsidRPr="0042410A">
        <w:rPr>
          <w:lang w:val="en-GB"/>
        </w:rPr>
        <w:t>Pollut</w:t>
      </w:r>
      <w:proofErr w:type="spellEnd"/>
      <w:r w:rsidRPr="0042410A">
        <w:rPr>
          <w:lang w:val="en-GB"/>
        </w:rPr>
        <w:t xml:space="preserve">. Res., vol. 28, no. 25, pp. 32695–32707, 2021, </w:t>
      </w:r>
      <w:proofErr w:type="spellStart"/>
      <w:r w:rsidRPr="0042410A">
        <w:rPr>
          <w:lang w:val="en-GB"/>
        </w:rPr>
        <w:t>doi</w:t>
      </w:r>
      <w:proofErr w:type="spellEnd"/>
      <w:r w:rsidRPr="0042410A">
        <w:rPr>
          <w:lang w:val="en-GB"/>
        </w:rPr>
        <w:t>: 10.1007/s11356-021-12791-3.</w:t>
      </w:r>
    </w:p>
    <w:p w14:paraId="799676D7" w14:textId="77777777" w:rsidR="006C4C83" w:rsidRDefault="001A2FEB" w:rsidP="00444B22">
      <w:pPr>
        <w:pStyle w:val="ac"/>
        <w:spacing w:after="60"/>
        <w:rPr>
          <w:lang w:val="en-GB"/>
        </w:rPr>
      </w:pPr>
      <w:r w:rsidRPr="0042410A">
        <w:rPr>
          <w:lang w:val="en-GB"/>
        </w:rPr>
        <w:t>[</w:t>
      </w:r>
      <w:bookmarkStart w:id="271" w:name="_Ref_cit_70"/>
      <w:r w:rsidRPr="0042410A">
        <w:rPr>
          <w:lang w:val="en-GB"/>
        </w:rPr>
        <w:t>70</w:t>
      </w:r>
      <w:bookmarkEnd w:id="271"/>
      <w:r w:rsidRPr="0042410A">
        <w:rPr>
          <w:lang w:val="en-GB"/>
        </w:rPr>
        <w:t>]</w:t>
      </w:r>
      <w:r w:rsidRPr="0042410A">
        <w:rPr>
          <w:lang w:val="en-GB"/>
        </w:rPr>
        <w:tab/>
        <w:t xml:space="preserve">D. H. Vaghela, M. Farhan, A. Trujillo, and J.-B. R. G. </w:t>
      </w:r>
      <w:proofErr w:type="spellStart"/>
      <w:r w:rsidRPr="0042410A">
        <w:rPr>
          <w:lang w:val="en-GB"/>
        </w:rPr>
        <w:t>Souppez</w:t>
      </w:r>
      <w:proofErr w:type="spellEnd"/>
      <w:r w:rsidRPr="0042410A">
        <w:rPr>
          <w:lang w:val="en-GB"/>
        </w:rPr>
        <w:t xml:space="preserve">, "Life Cycle Assessment and Artificial Intelligence in Wind-Assisted Ship Propulsion," in Proc. 7th Int. Conf. Innovation in </w:t>
      </w:r>
      <w:proofErr w:type="gramStart"/>
      <w:r w:rsidRPr="0042410A">
        <w:rPr>
          <w:lang w:val="en-GB"/>
        </w:rPr>
        <w:t>High Performance</w:t>
      </w:r>
      <w:proofErr w:type="gramEnd"/>
      <w:r w:rsidRPr="0042410A">
        <w:rPr>
          <w:lang w:val="en-GB"/>
        </w:rPr>
        <w:t xml:space="preserve"> Sailing Yachts and Wind Assisted Ships (</w:t>
      </w:r>
      <w:proofErr w:type="spellStart"/>
      <w:r w:rsidRPr="0042410A">
        <w:rPr>
          <w:lang w:val="en-GB"/>
        </w:rPr>
        <w:t>InnovSail</w:t>
      </w:r>
      <w:proofErr w:type="spellEnd"/>
      <w:r w:rsidRPr="0042410A">
        <w:rPr>
          <w:lang w:val="en-GB"/>
        </w:rPr>
        <w:t xml:space="preserve"> 2026), Gothenburg, Sweden, Jun. 2026.</w:t>
      </w:r>
    </w:p>
    <w:p w14:paraId="1C59FC3C" w14:textId="77777777" w:rsidR="006C4C83" w:rsidRPr="0042410A" w:rsidRDefault="001A2FEB" w:rsidP="00444B22">
      <w:pPr>
        <w:pStyle w:val="ac"/>
        <w:spacing w:after="60"/>
        <w:rPr>
          <w:lang w:val="en-GB"/>
        </w:rPr>
      </w:pPr>
      <w:r w:rsidRPr="0042410A">
        <w:rPr>
          <w:lang w:val="en-GB"/>
        </w:rPr>
        <w:lastRenderedPageBreak/>
        <w:t>[</w:t>
      </w:r>
      <w:bookmarkStart w:id="272" w:name="_Ref_cit_71"/>
      <w:r w:rsidRPr="0042410A">
        <w:rPr>
          <w:lang w:val="en-GB"/>
        </w:rPr>
        <w:t>71</w:t>
      </w:r>
      <w:bookmarkEnd w:id="272"/>
      <w:r w:rsidRPr="0042410A">
        <w:rPr>
          <w:lang w:val="en-GB"/>
        </w:rPr>
        <w:t>]</w:t>
      </w:r>
      <w:r w:rsidRPr="0042410A">
        <w:rPr>
          <w:lang w:val="en-GB"/>
        </w:rPr>
        <w:tab/>
        <w:t xml:space="preserve">R. Ma et al., "Evaluation Method for Energy Saving of Sail-Assisted Ship Based on Wind Resource Analysis of Typical Route," J. Mar. Sci. Eng., vol. 11, no. 4, p. 789, 2023, </w:t>
      </w:r>
      <w:proofErr w:type="spellStart"/>
      <w:r w:rsidRPr="0042410A">
        <w:rPr>
          <w:lang w:val="en-GB"/>
        </w:rPr>
        <w:t>doi</w:t>
      </w:r>
      <w:proofErr w:type="spellEnd"/>
      <w:r w:rsidRPr="0042410A">
        <w:rPr>
          <w:lang w:val="en-GB"/>
        </w:rPr>
        <w:t>: 10.3390/jmse11040789.</w:t>
      </w:r>
    </w:p>
    <w:p w14:paraId="432E5374" w14:textId="77777777" w:rsidR="006C4C83" w:rsidRPr="0042410A" w:rsidRDefault="001A2FEB" w:rsidP="00444B22">
      <w:pPr>
        <w:pStyle w:val="ac"/>
        <w:spacing w:after="60"/>
        <w:rPr>
          <w:lang w:val="en-GB"/>
        </w:rPr>
      </w:pPr>
      <w:r w:rsidRPr="0042410A">
        <w:rPr>
          <w:lang w:val="en-GB"/>
        </w:rPr>
        <w:t>[</w:t>
      </w:r>
      <w:bookmarkStart w:id="273" w:name="_Ref_cit_72"/>
      <w:r w:rsidRPr="0042410A">
        <w:rPr>
          <w:lang w:val="en-GB"/>
        </w:rPr>
        <w:t>72</w:t>
      </w:r>
      <w:bookmarkEnd w:id="273"/>
      <w:r w:rsidRPr="0042410A">
        <w:rPr>
          <w:lang w:val="en-GB"/>
        </w:rPr>
        <w:t>]</w:t>
      </w:r>
      <w:r w:rsidRPr="0042410A">
        <w:rPr>
          <w:lang w:val="en-GB"/>
        </w:rPr>
        <w:tab/>
        <w:t xml:space="preserve">W. Sun, S. Tang, X. Liu, S. Zhou, and J. Wei, "An Improved Ship Weather Routing Framework for CII Reduction Accounting for Wind-Assisted Rotors," J. Mar. Sci. Eng., vol. 10, no. 12, p. 1979, Dec. 2022, </w:t>
      </w:r>
      <w:proofErr w:type="spellStart"/>
      <w:r w:rsidRPr="0042410A">
        <w:rPr>
          <w:lang w:val="en-GB"/>
        </w:rPr>
        <w:t>doi</w:t>
      </w:r>
      <w:proofErr w:type="spellEnd"/>
      <w:r w:rsidRPr="0042410A">
        <w:rPr>
          <w:lang w:val="en-GB"/>
        </w:rPr>
        <w:t>: 10.3390/jmse10121979.</w:t>
      </w:r>
    </w:p>
    <w:p w14:paraId="634451D2" w14:textId="77777777" w:rsidR="006C4C83" w:rsidRDefault="001A2FEB" w:rsidP="00444B22">
      <w:pPr>
        <w:pStyle w:val="ac"/>
        <w:spacing w:after="60"/>
        <w:rPr>
          <w:lang w:val="en-GB"/>
        </w:rPr>
      </w:pPr>
      <w:r w:rsidRPr="0042410A">
        <w:rPr>
          <w:lang w:val="en-GB"/>
        </w:rPr>
        <w:t>[</w:t>
      </w:r>
      <w:bookmarkStart w:id="274" w:name="_Ref_cit_73"/>
      <w:r w:rsidRPr="0042410A">
        <w:rPr>
          <w:lang w:val="en-GB"/>
        </w:rPr>
        <w:t>73</w:t>
      </w:r>
      <w:bookmarkEnd w:id="274"/>
      <w:r w:rsidRPr="0042410A">
        <w:rPr>
          <w:lang w:val="en-GB"/>
        </w:rPr>
        <w:t>]</w:t>
      </w:r>
      <w:r w:rsidRPr="0042410A">
        <w:rPr>
          <w:lang w:val="en-GB"/>
        </w:rPr>
        <w:tab/>
        <w:t xml:space="preserve">N. </w:t>
      </w:r>
      <w:proofErr w:type="spellStart"/>
      <w:r w:rsidRPr="0042410A">
        <w:rPr>
          <w:lang w:val="en-GB"/>
        </w:rPr>
        <w:t>Rehmatulla</w:t>
      </w:r>
      <w:proofErr w:type="spellEnd"/>
      <w:r w:rsidRPr="0042410A">
        <w:rPr>
          <w:lang w:val="en-GB"/>
        </w:rPr>
        <w:t xml:space="preserve">, S. Parker, T. Smith, and V. </w:t>
      </w:r>
      <w:proofErr w:type="spellStart"/>
      <w:r w:rsidRPr="0042410A">
        <w:rPr>
          <w:lang w:val="en-GB"/>
        </w:rPr>
        <w:t>Stulgis</w:t>
      </w:r>
      <w:proofErr w:type="spellEnd"/>
      <w:r w:rsidRPr="0042410A">
        <w:rPr>
          <w:lang w:val="en-GB"/>
        </w:rPr>
        <w:t xml:space="preserve">, "Wind technologies: Opportunities and barriers to a low carbon shipping industry," Mar. Policy, vol. 75, pp. 217–226, 2017, </w:t>
      </w:r>
      <w:proofErr w:type="spellStart"/>
      <w:r w:rsidRPr="0042410A">
        <w:rPr>
          <w:lang w:val="en-GB"/>
        </w:rPr>
        <w:t>doi</w:t>
      </w:r>
      <w:proofErr w:type="spellEnd"/>
      <w:r w:rsidRPr="0042410A">
        <w:rPr>
          <w:lang w:val="en-GB"/>
        </w:rPr>
        <w:t>: 10.1016/j.marpol.2015.12.021.</w:t>
      </w:r>
    </w:p>
    <w:p w14:paraId="3F19E5B1" w14:textId="77777777" w:rsidR="006C4C83" w:rsidRDefault="001A2FEB" w:rsidP="00444B22">
      <w:pPr>
        <w:pStyle w:val="ac"/>
        <w:spacing w:after="60"/>
        <w:rPr>
          <w:lang w:val="en-GB"/>
        </w:rPr>
      </w:pPr>
      <w:r w:rsidRPr="008C7366">
        <w:rPr>
          <w:highlight w:val="yellow"/>
          <w:lang w:val="en-GB"/>
        </w:rPr>
        <w:t>[</w:t>
      </w:r>
      <w:bookmarkStart w:id="275" w:name="_Ref_cit_74"/>
      <w:r w:rsidRPr="008C7366">
        <w:rPr>
          <w:highlight w:val="yellow"/>
          <w:lang w:val="en-GB"/>
        </w:rPr>
        <w:t>74</w:t>
      </w:r>
      <w:bookmarkEnd w:id="275"/>
      <w:r w:rsidRPr="008C7366">
        <w:rPr>
          <w:highlight w:val="yellow"/>
          <w:lang w:val="en-GB"/>
        </w:rPr>
        <w:t>]</w:t>
      </w:r>
      <w:r w:rsidRPr="008C7366">
        <w:rPr>
          <w:highlight w:val="yellow"/>
          <w:lang w:val="en-GB"/>
        </w:rPr>
        <w:tab/>
        <w:t xml:space="preserve">DNV, “How WAPS can help to comply with GHG regulations,” DNV white paper, Høvik, Norway, 2025. </w:t>
      </w:r>
      <w:r>
        <w:rPr>
          <w:highlight w:val="yellow"/>
        </w:rPr>
        <w:t>[</w:t>
      </w:r>
      <w:proofErr w:type="spellStart"/>
      <w:r>
        <w:rPr>
          <w:highlight w:val="yellow"/>
        </w:rPr>
        <w:t>Online</w:t>
      </w:r>
      <w:proofErr w:type="spellEnd"/>
      <w:r>
        <w:rPr>
          <w:highlight w:val="yellow"/>
        </w:rPr>
        <w:t xml:space="preserve">]. </w:t>
      </w:r>
      <w:proofErr w:type="spellStart"/>
      <w:r>
        <w:rPr>
          <w:highlight w:val="yellow"/>
        </w:rPr>
        <w:t>Available</w:t>
      </w:r>
      <w:proofErr w:type="spellEnd"/>
      <w:r>
        <w:rPr>
          <w:highlight w:val="yellow"/>
        </w:rPr>
        <w:t>: https://www.dnv.com</w:t>
      </w:r>
    </w:p>
    <w:sectPr w:rsidR="006C4C83" w:rsidSect="00B0043E">
      <w:footerReference w:type="default" r:id="rId33"/>
      <w:pgSz w:w="11906" w:h="16838" w:code="9"/>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839CB" w14:textId="77777777" w:rsidR="006D782E" w:rsidRDefault="006D782E" w:rsidP="00D60ECA">
      <w:pPr>
        <w:spacing w:after="0" w:line="240" w:lineRule="auto"/>
      </w:pPr>
      <w:r>
        <w:separator/>
      </w:r>
    </w:p>
  </w:endnote>
  <w:endnote w:type="continuationSeparator" w:id="0">
    <w:p w14:paraId="6632D372" w14:textId="77777777" w:rsidR="006D782E" w:rsidRDefault="006D782E" w:rsidP="00D60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Georgia">
    <w:panose1 w:val="02040502050405020303"/>
    <w:charset w:val="A1"/>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70CFD" w14:textId="77777777" w:rsidR="00A46D9C" w:rsidRDefault="00A46D9C">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2400228"/>
      <w:docPartObj>
        <w:docPartGallery w:val="Page Numbers (Bottom of Page)"/>
        <w:docPartUnique/>
      </w:docPartObj>
    </w:sdtPr>
    <w:sdtContent>
      <w:p w14:paraId="1F4537F6" w14:textId="0A982B94" w:rsidR="00734051" w:rsidRDefault="00734051">
        <w:pPr>
          <w:pStyle w:val="af"/>
          <w:jc w:val="center"/>
        </w:pPr>
        <w:r>
          <w:fldChar w:fldCharType="begin"/>
        </w:r>
        <w:r>
          <w:instrText>PAGE   \* MERGEFORMAT</w:instrText>
        </w:r>
        <w:r>
          <w:fldChar w:fldCharType="separate"/>
        </w:r>
        <w:r>
          <w:t>2</w:t>
        </w:r>
        <w:r>
          <w:fldChar w:fldCharType="end"/>
        </w:r>
      </w:p>
    </w:sdtContent>
  </w:sdt>
  <w:p w14:paraId="01F948FA" w14:textId="77777777" w:rsidR="00734051" w:rsidRDefault="00734051">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79F18" w14:textId="77777777" w:rsidR="006D782E" w:rsidRDefault="006D782E" w:rsidP="00D60ECA">
      <w:pPr>
        <w:spacing w:after="0" w:line="240" w:lineRule="auto"/>
      </w:pPr>
      <w:r>
        <w:separator/>
      </w:r>
    </w:p>
  </w:footnote>
  <w:footnote w:type="continuationSeparator" w:id="0">
    <w:p w14:paraId="64F25B60" w14:textId="77777777" w:rsidR="006D782E" w:rsidRDefault="006D782E" w:rsidP="00D60E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F719C"/>
    <w:multiLevelType w:val="multilevel"/>
    <w:tmpl w:val="2B385730"/>
    <w:numStyleLink w:val="1"/>
  </w:abstractNum>
  <w:abstractNum w:abstractNumId="1" w15:restartNumberingAfterBreak="0">
    <w:nsid w:val="2AEB2DDA"/>
    <w:multiLevelType w:val="multilevel"/>
    <w:tmpl w:val="BB4E55DC"/>
    <w:lvl w:ilvl="0">
      <w:start w:val="1"/>
      <w:numFmt w:val="decimal"/>
      <w:pStyle w:val="10"/>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 w15:restartNumberingAfterBreak="0">
    <w:nsid w:val="48D96DB5"/>
    <w:multiLevelType w:val="multilevel"/>
    <w:tmpl w:val="2B385730"/>
    <w:styleLink w:val="1"/>
    <w:lvl w:ilvl="0">
      <w:start w:val="1"/>
      <w:numFmt w:val="decimal"/>
      <w:lvlText w:val="%1"/>
      <w:lvlJc w:val="left"/>
      <w:pPr>
        <w:ind w:left="432" w:hanging="432"/>
      </w:pPr>
      <w:rPr>
        <w:color w:val="auto"/>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508371AC"/>
    <w:multiLevelType w:val="hybridMultilevel"/>
    <w:tmpl w:val="64B0407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4" w15:restartNumberingAfterBreak="0">
    <w:nsid w:val="594B4A7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5D853E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37D4639"/>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131899777">
    <w:abstractNumId w:val="6"/>
  </w:num>
  <w:num w:numId="2" w16cid:durableId="2089039617">
    <w:abstractNumId w:val="5"/>
  </w:num>
  <w:num w:numId="3" w16cid:durableId="697972928">
    <w:abstractNumId w:val="4"/>
  </w:num>
  <w:num w:numId="4" w16cid:durableId="1679429676">
    <w:abstractNumId w:val="1"/>
  </w:num>
  <w:num w:numId="5" w16cid:durableId="293021662">
    <w:abstractNumId w:val="2"/>
  </w:num>
  <w:num w:numId="6" w16cid:durableId="7949404">
    <w:abstractNumId w:val="0"/>
  </w:num>
  <w:num w:numId="7" w16cid:durableId="21143530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57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3A3"/>
    <w:rsid w:val="00000C22"/>
    <w:rsid w:val="00001C4E"/>
    <w:rsid w:val="000022B9"/>
    <w:rsid w:val="000033D2"/>
    <w:rsid w:val="00005088"/>
    <w:rsid w:val="00010BEA"/>
    <w:rsid w:val="00011028"/>
    <w:rsid w:val="00011A12"/>
    <w:rsid w:val="000128DE"/>
    <w:rsid w:val="00012A69"/>
    <w:rsid w:val="00013739"/>
    <w:rsid w:val="00014DC7"/>
    <w:rsid w:val="00015829"/>
    <w:rsid w:val="000158FD"/>
    <w:rsid w:val="00020140"/>
    <w:rsid w:val="00021EB9"/>
    <w:rsid w:val="0002264F"/>
    <w:rsid w:val="000259FD"/>
    <w:rsid w:val="00025C07"/>
    <w:rsid w:val="000262B4"/>
    <w:rsid w:val="00026C5F"/>
    <w:rsid w:val="00026E92"/>
    <w:rsid w:val="000275AF"/>
    <w:rsid w:val="00027B6A"/>
    <w:rsid w:val="0003067F"/>
    <w:rsid w:val="0003160B"/>
    <w:rsid w:val="0003172F"/>
    <w:rsid w:val="00031FD0"/>
    <w:rsid w:val="00035BAB"/>
    <w:rsid w:val="000379AD"/>
    <w:rsid w:val="000406EA"/>
    <w:rsid w:val="00040DD8"/>
    <w:rsid w:val="0004134F"/>
    <w:rsid w:val="000423CF"/>
    <w:rsid w:val="00042C75"/>
    <w:rsid w:val="0004393B"/>
    <w:rsid w:val="00043C68"/>
    <w:rsid w:val="00047F73"/>
    <w:rsid w:val="00053E29"/>
    <w:rsid w:val="000554AF"/>
    <w:rsid w:val="00055761"/>
    <w:rsid w:val="000558AB"/>
    <w:rsid w:val="0005714F"/>
    <w:rsid w:val="00057653"/>
    <w:rsid w:val="000578A7"/>
    <w:rsid w:val="00057E1F"/>
    <w:rsid w:val="00063B35"/>
    <w:rsid w:val="00063F51"/>
    <w:rsid w:val="0006402A"/>
    <w:rsid w:val="00064204"/>
    <w:rsid w:val="000642D3"/>
    <w:rsid w:val="000652A3"/>
    <w:rsid w:val="0006558D"/>
    <w:rsid w:val="00066295"/>
    <w:rsid w:val="0006777F"/>
    <w:rsid w:val="000705CD"/>
    <w:rsid w:val="0007183D"/>
    <w:rsid w:val="00071C0C"/>
    <w:rsid w:val="00072974"/>
    <w:rsid w:val="000733BA"/>
    <w:rsid w:val="00074F0C"/>
    <w:rsid w:val="00075A45"/>
    <w:rsid w:val="00075ADF"/>
    <w:rsid w:val="000763B7"/>
    <w:rsid w:val="000763FF"/>
    <w:rsid w:val="00076F2B"/>
    <w:rsid w:val="000778EC"/>
    <w:rsid w:val="00077DE1"/>
    <w:rsid w:val="00082FCA"/>
    <w:rsid w:val="00083948"/>
    <w:rsid w:val="00083AA7"/>
    <w:rsid w:val="00083B9E"/>
    <w:rsid w:val="00084E49"/>
    <w:rsid w:val="0008566A"/>
    <w:rsid w:val="00086840"/>
    <w:rsid w:val="00090EB0"/>
    <w:rsid w:val="00092E0A"/>
    <w:rsid w:val="000936DE"/>
    <w:rsid w:val="00093A23"/>
    <w:rsid w:val="00097621"/>
    <w:rsid w:val="000A1499"/>
    <w:rsid w:val="000A2366"/>
    <w:rsid w:val="000A3055"/>
    <w:rsid w:val="000A3C24"/>
    <w:rsid w:val="000A53B8"/>
    <w:rsid w:val="000A6CE5"/>
    <w:rsid w:val="000B3EF7"/>
    <w:rsid w:val="000B7917"/>
    <w:rsid w:val="000B7E95"/>
    <w:rsid w:val="000C09A5"/>
    <w:rsid w:val="000C3585"/>
    <w:rsid w:val="000C4055"/>
    <w:rsid w:val="000C4300"/>
    <w:rsid w:val="000C4BCE"/>
    <w:rsid w:val="000C6D29"/>
    <w:rsid w:val="000C79C7"/>
    <w:rsid w:val="000C7CE3"/>
    <w:rsid w:val="000C7FEE"/>
    <w:rsid w:val="000D04DD"/>
    <w:rsid w:val="000D21AE"/>
    <w:rsid w:val="000D37C8"/>
    <w:rsid w:val="000D7EEA"/>
    <w:rsid w:val="000E2D65"/>
    <w:rsid w:val="000E6C30"/>
    <w:rsid w:val="000F07EF"/>
    <w:rsid w:val="000F345D"/>
    <w:rsid w:val="000F3A66"/>
    <w:rsid w:val="000F4488"/>
    <w:rsid w:val="000F4B32"/>
    <w:rsid w:val="000F53B9"/>
    <w:rsid w:val="000F56F2"/>
    <w:rsid w:val="000F5AB0"/>
    <w:rsid w:val="00100640"/>
    <w:rsid w:val="00100694"/>
    <w:rsid w:val="00104CAE"/>
    <w:rsid w:val="00105B05"/>
    <w:rsid w:val="00105E04"/>
    <w:rsid w:val="00110EA8"/>
    <w:rsid w:val="0011299B"/>
    <w:rsid w:val="0011309D"/>
    <w:rsid w:val="00113B2F"/>
    <w:rsid w:val="00113EEE"/>
    <w:rsid w:val="001141E6"/>
    <w:rsid w:val="001163A3"/>
    <w:rsid w:val="001201B9"/>
    <w:rsid w:val="00120304"/>
    <w:rsid w:val="001236A2"/>
    <w:rsid w:val="00123E6D"/>
    <w:rsid w:val="00132063"/>
    <w:rsid w:val="001328E0"/>
    <w:rsid w:val="00133FD5"/>
    <w:rsid w:val="00134ECF"/>
    <w:rsid w:val="00135B4F"/>
    <w:rsid w:val="0013669A"/>
    <w:rsid w:val="00136B40"/>
    <w:rsid w:val="00136C32"/>
    <w:rsid w:val="001445E8"/>
    <w:rsid w:val="00144A13"/>
    <w:rsid w:val="001458B3"/>
    <w:rsid w:val="00146540"/>
    <w:rsid w:val="00147647"/>
    <w:rsid w:val="001510AC"/>
    <w:rsid w:val="00153608"/>
    <w:rsid w:val="00153F82"/>
    <w:rsid w:val="00161099"/>
    <w:rsid w:val="001622FD"/>
    <w:rsid w:val="001627D4"/>
    <w:rsid w:val="00166483"/>
    <w:rsid w:val="00167946"/>
    <w:rsid w:val="001705F0"/>
    <w:rsid w:val="001705FC"/>
    <w:rsid w:val="00170A74"/>
    <w:rsid w:val="00170F47"/>
    <w:rsid w:val="00174371"/>
    <w:rsid w:val="00176565"/>
    <w:rsid w:val="00183AAF"/>
    <w:rsid w:val="001843D0"/>
    <w:rsid w:val="00184F72"/>
    <w:rsid w:val="001852CB"/>
    <w:rsid w:val="00185EFB"/>
    <w:rsid w:val="001875A6"/>
    <w:rsid w:val="00190A0F"/>
    <w:rsid w:val="00192D56"/>
    <w:rsid w:val="00193532"/>
    <w:rsid w:val="001A226B"/>
    <w:rsid w:val="001A242F"/>
    <w:rsid w:val="001A24D1"/>
    <w:rsid w:val="001A2FEB"/>
    <w:rsid w:val="001A3FF9"/>
    <w:rsid w:val="001A4A52"/>
    <w:rsid w:val="001A4E66"/>
    <w:rsid w:val="001B0E7F"/>
    <w:rsid w:val="001B198D"/>
    <w:rsid w:val="001B1DC4"/>
    <w:rsid w:val="001B3D4D"/>
    <w:rsid w:val="001B4F6D"/>
    <w:rsid w:val="001B5C0D"/>
    <w:rsid w:val="001B69B7"/>
    <w:rsid w:val="001C1C7E"/>
    <w:rsid w:val="001D052A"/>
    <w:rsid w:val="001D25A6"/>
    <w:rsid w:val="001D32A5"/>
    <w:rsid w:val="001D3893"/>
    <w:rsid w:val="001D3C2B"/>
    <w:rsid w:val="001D5477"/>
    <w:rsid w:val="001D6186"/>
    <w:rsid w:val="001D638B"/>
    <w:rsid w:val="001D7101"/>
    <w:rsid w:val="001D715B"/>
    <w:rsid w:val="001E1878"/>
    <w:rsid w:val="001E271F"/>
    <w:rsid w:val="001E2B3B"/>
    <w:rsid w:val="001E39F6"/>
    <w:rsid w:val="001E47BA"/>
    <w:rsid w:val="001E5A11"/>
    <w:rsid w:val="001E7BA0"/>
    <w:rsid w:val="001F020B"/>
    <w:rsid w:val="001F06C9"/>
    <w:rsid w:val="001F1E7F"/>
    <w:rsid w:val="001F3087"/>
    <w:rsid w:val="001F3659"/>
    <w:rsid w:val="001F39F7"/>
    <w:rsid w:val="001F5B3D"/>
    <w:rsid w:val="001F6FA2"/>
    <w:rsid w:val="00201395"/>
    <w:rsid w:val="00202EB7"/>
    <w:rsid w:val="002046C3"/>
    <w:rsid w:val="00204E95"/>
    <w:rsid w:val="00206636"/>
    <w:rsid w:val="0020748A"/>
    <w:rsid w:val="00211036"/>
    <w:rsid w:val="0021151C"/>
    <w:rsid w:val="0021349F"/>
    <w:rsid w:val="002138C6"/>
    <w:rsid w:val="00214E95"/>
    <w:rsid w:val="002167DF"/>
    <w:rsid w:val="00225E01"/>
    <w:rsid w:val="0022630B"/>
    <w:rsid w:val="00227036"/>
    <w:rsid w:val="00234750"/>
    <w:rsid w:val="00234B12"/>
    <w:rsid w:val="00237486"/>
    <w:rsid w:val="0024111E"/>
    <w:rsid w:val="00241C11"/>
    <w:rsid w:val="00242F2A"/>
    <w:rsid w:val="00242F4C"/>
    <w:rsid w:val="002438B3"/>
    <w:rsid w:val="00244809"/>
    <w:rsid w:val="0024486D"/>
    <w:rsid w:val="00245BE2"/>
    <w:rsid w:val="00250312"/>
    <w:rsid w:val="00253675"/>
    <w:rsid w:val="00253A76"/>
    <w:rsid w:val="00254769"/>
    <w:rsid w:val="002576CC"/>
    <w:rsid w:val="002602C9"/>
    <w:rsid w:val="00260D2A"/>
    <w:rsid w:val="00261FB1"/>
    <w:rsid w:val="002624F3"/>
    <w:rsid w:val="00267A2E"/>
    <w:rsid w:val="00267E51"/>
    <w:rsid w:val="00267E58"/>
    <w:rsid w:val="002700FA"/>
    <w:rsid w:val="002709FB"/>
    <w:rsid w:val="00272D4E"/>
    <w:rsid w:val="00274019"/>
    <w:rsid w:val="00275125"/>
    <w:rsid w:val="0027583D"/>
    <w:rsid w:val="00276322"/>
    <w:rsid w:val="002779CF"/>
    <w:rsid w:val="0028299A"/>
    <w:rsid w:val="00283984"/>
    <w:rsid w:val="00285347"/>
    <w:rsid w:val="0029042B"/>
    <w:rsid w:val="00292AC9"/>
    <w:rsid w:val="00294C6B"/>
    <w:rsid w:val="00295E17"/>
    <w:rsid w:val="002960F8"/>
    <w:rsid w:val="002962E7"/>
    <w:rsid w:val="002963B1"/>
    <w:rsid w:val="00296FA5"/>
    <w:rsid w:val="0029742B"/>
    <w:rsid w:val="002A1101"/>
    <w:rsid w:val="002A11F3"/>
    <w:rsid w:val="002A2184"/>
    <w:rsid w:val="002A2788"/>
    <w:rsid w:val="002A3A24"/>
    <w:rsid w:val="002A3FB5"/>
    <w:rsid w:val="002A4FE4"/>
    <w:rsid w:val="002A5009"/>
    <w:rsid w:val="002B13F5"/>
    <w:rsid w:val="002B1817"/>
    <w:rsid w:val="002B19F0"/>
    <w:rsid w:val="002B45E9"/>
    <w:rsid w:val="002B4D4A"/>
    <w:rsid w:val="002B52DD"/>
    <w:rsid w:val="002B725D"/>
    <w:rsid w:val="002B77F5"/>
    <w:rsid w:val="002C0762"/>
    <w:rsid w:val="002C1129"/>
    <w:rsid w:val="002C2930"/>
    <w:rsid w:val="002C5E0B"/>
    <w:rsid w:val="002C5EB1"/>
    <w:rsid w:val="002D21E5"/>
    <w:rsid w:val="002D338D"/>
    <w:rsid w:val="002E0EDE"/>
    <w:rsid w:val="002E3101"/>
    <w:rsid w:val="002E3A7F"/>
    <w:rsid w:val="002E3C0A"/>
    <w:rsid w:val="002E41C8"/>
    <w:rsid w:val="002E6397"/>
    <w:rsid w:val="002E6966"/>
    <w:rsid w:val="002E7010"/>
    <w:rsid w:val="002F08EA"/>
    <w:rsid w:val="002F1CD8"/>
    <w:rsid w:val="002F34E5"/>
    <w:rsid w:val="002F367A"/>
    <w:rsid w:val="002F7708"/>
    <w:rsid w:val="0030040E"/>
    <w:rsid w:val="00301001"/>
    <w:rsid w:val="003013C9"/>
    <w:rsid w:val="00306732"/>
    <w:rsid w:val="00307211"/>
    <w:rsid w:val="00310E1C"/>
    <w:rsid w:val="0031159F"/>
    <w:rsid w:val="00312106"/>
    <w:rsid w:val="00312744"/>
    <w:rsid w:val="00312844"/>
    <w:rsid w:val="00312B73"/>
    <w:rsid w:val="003137FD"/>
    <w:rsid w:val="00316520"/>
    <w:rsid w:val="0032030F"/>
    <w:rsid w:val="00320696"/>
    <w:rsid w:val="0032083C"/>
    <w:rsid w:val="00320A0D"/>
    <w:rsid w:val="00321E23"/>
    <w:rsid w:val="00321FB2"/>
    <w:rsid w:val="00322925"/>
    <w:rsid w:val="003231F4"/>
    <w:rsid w:val="00323AF4"/>
    <w:rsid w:val="003250F8"/>
    <w:rsid w:val="003253B6"/>
    <w:rsid w:val="00330AAC"/>
    <w:rsid w:val="00331C63"/>
    <w:rsid w:val="00332049"/>
    <w:rsid w:val="0033386F"/>
    <w:rsid w:val="00334E6F"/>
    <w:rsid w:val="00336645"/>
    <w:rsid w:val="00336EF3"/>
    <w:rsid w:val="00337977"/>
    <w:rsid w:val="00337B98"/>
    <w:rsid w:val="0034018E"/>
    <w:rsid w:val="003423C3"/>
    <w:rsid w:val="00342B3E"/>
    <w:rsid w:val="003439F3"/>
    <w:rsid w:val="00346ADE"/>
    <w:rsid w:val="003506AE"/>
    <w:rsid w:val="00351344"/>
    <w:rsid w:val="00352894"/>
    <w:rsid w:val="00353773"/>
    <w:rsid w:val="00354070"/>
    <w:rsid w:val="00356907"/>
    <w:rsid w:val="003569F5"/>
    <w:rsid w:val="00357558"/>
    <w:rsid w:val="00357629"/>
    <w:rsid w:val="00357CAD"/>
    <w:rsid w:val="0036183A"/>
    <w:rsid w:val="00361A44"/>
    <w:rsid w:val="00361BBC"/>
    <w:rsid w:val="00361CA1"/>
    <w:rsid w:val="0036208F"/>
    <w:rsid w:val="003640C8"/>
    <w:rsid w:val="00370515"/>
    <w:rsid w:val="00370E88"/>
    <w:rsid w:val="00371FD1"/>
    <w:rsid w:val="0037218B"/>
    <w:rsid w:val="00373864"/>
    <w:rsid w:val="00374034"/>
    <w:rsid w:val="00374F84"/>
    <w:rsid w:val="00380557"/>
    <w:rsid w:val="00380937"/>
    <w:rsid w:val="00381410"/>
    <w:rsid w:val="003816E6"/>
    <w:rsid w:val="0038191B"/>
    <w:rsid w:val="00382379"/>
    <w:rsid w:val="003842E8"/>
    <w:rsid w:val="003856D8"/>
    <w:rsid w:val="00385AE1"/>
    <w:rsid w:val="00387D80"/>
    <w:rsid w:val="00393A7F"/>
    <w:rsid w:val="003941EC"/>
    <w:rsid w:val="00396F0C"/>
    <w:rsid w:val="00397758"/>
    <w:rsid w:val="003A1830"/>
    <w:rsid w:val="003A2827"/>
    <w:rsid w:val="003A4C40"/>
    <w:rsid w:val="003A5492"/>
    <w:rsid w:val="003A5E12"/>
    <w:rsid w:val="003A647D"/>
    <w:rsid w:val="003B1316"/>
    <w:rsid w:val="003B4409"/>
    <w:rsid w:val="003B55D0"/>
    <w:rsid w:val="003C0DBD"/>
    <w:rsid w:val="003C2F22"/>
    <w:rsid w:val="003C33E6"/>
    <w:rsid w:val="003C5D18"/>
    <w:rsid w:val="003C6285"/>
    <w:rsid w:val="003C6EF6"/>
    <w:rsid w:val="003C7DFB"/>
    <w:rsid w:val="003D04D6"/>
    <w:rsid w:val="003D1D1E"/>
    <w:rsid w:val="003D21E3"/>
    <w:rsid w:val="003D224B"/>
    <w:rsid w:val="003D3184"/>
    <w:rsid w:val="003D34DB"/>
    <w:rsid w:val="003D4F09"/>
    <w:rsid w:val="003D5B28"/>
    <w:rsid w:val="003D5B53"/>
    <w:rsid w:val="003D6BE2"/>
    <w:rsid w:val="003D76C3"/>
    <w:rsid w:val="003D775D"/>
    <w:rsid w:val="003E2FD4"/>
    <w:rsid w:val="003E3EA7"/>
    <w:rsid w:val="003E534D"/>
    <w:rsid w:val="003E5F8D"/>
    <w:rsid w:val="003E6D93"/>
    <w:rsid w:val="003F0980"/>
    <w:rsid w:val="003F1518"/>
    <w:rsid w:val="003F169B"/>
    <w:rsid w:val="003F1C5F"/>
    <w:rsid w:val="003F20F5"/>
    <w:rsid w:val="003F28EB"/>
    <w:rsid w:val="003F33D5"/>
    <w:rsid w:val="003F4950"/>
    <w:rsid w:val="00403092"/>
    <w:rsid w:val="0040381A"/>
    <w:rsid w:val="00404763"/>
    <w:rsid w:val="00405DBF"/>
    <w:rsid w:val="00406475"/>
    <w:rsid w:val="00406ADA"/>
    <w:rsid w:val="0040724A"/>
    <w:rsid w:val="00410A10"/>
    <w:rsid w:val="00412513"/>
    <w:rsid w:val="00414670"/>
    <w:rsid w:val="00414922"/>
    <w:rsid w:val="0041646D"/>
    <w:rsid w:val="0042410A"/>
    <w:rsid w:val="00425A3A"/>
    <w:rsid w:val="00427430"/>
    <w:rsid w:val="00430338"/>
    <w:rsid w:val="00430697"/>
    <w:rsid w:val="004327F1"/>
    <w:rsid w:val="00432D28"/>
    <w:rsid w:val="00432D8F"/>
    <w:rsid w:val="004342AC"/>
    <w:rsid w:val="00434AAF"/>
    <w:rsid w:val="00437A8A"/>
    <w:rsid w:val="00440A99"/>
    <w:rsid w:val="00440B5B"/>
    <w:rsid w:val="0044139D"/>
    <w:rsid w:val="00441808"/>
    <w:rsid w:val="00443629"/>
    <w:rsid w:val="00444B22"/>
    <w:rsid w:val="00445172"/>
    <w:rsid w:val="00447009"/>
    <w:rsid w:val="00450D0A"/>
    <w:rsid w:val="00452742"/>
    <w:rsid w:val="00452831"/>
    <w:rsid w:val="00452A4A"/>
    <w:rsid w:val="00455AF2"/>
    <w:rsid w:val="00457894"/>
    <w:rsid w:val="004612CC"/>
    <w:rsid w:val="0046185B"/>
    <w:rsid w:val="00461957"/>
    <w:rsid w:val="00462D81"/>
    <w:rsid w:val="004643F2"/>
    <w:rsid w:val="004651FB"/>
    <w:rsid w:val="00465BAA"/>
    <w:rsid w:val="00470FB8"/>
    <w:rsid w:val="00472DB1"/>
    <w:rsid w:val="00474C71"/>
    <w:rsid w:val="00475C20"/>
    <w:rsid w:val="004768E3"/>
    <w:rsid w:val="00477243"/>
    <w:rsid w:val="00480A38"/>
    <w:rsid w:val="00480A59"/>
    <w:rsid w:val="0048117C"/>
    <w:rsid w:val="004816AE"/>
    <w:rsid w:val="00481DCB"/>
    <w:rsid w:val="00483B62"/>
    <w:rsid w:val="0048792C"/>
    <w:rsid w:val="0049193B"/>
    <w:rsid w:val="00491E2E"/>
    <w:rsid w:val="00493028"/>
    <w:rsid w:val="00493665"/>
    <w:rsid w:val="004940C6"/>
    <w:rsid w:val="00496BB1"/>
    <w:rsid w:val="004A1997"/>
    <w:rsid w:val="004A21C0"/>
    <w:rsid w:val="004A33DF"/>
    <w:rsid w:val="004A4BD7"/>
    <w:rsid w:val="004A5076"/>
    <w:rsid w:val="004A56D6"/>
    <w:rsid w:val="004B0922"/>
    <w:rsid w:val="004B09F2"/>
    <w:rsid w:val="004B227B"/>
    <w:rsid w:val="004B24A2"/>
    <w:rsid w:val="004B2B01"/>
    <w:rsid w:val="004B4B47"/>
    <w:rsid w:val="004B4D1D"/>
    <w:rsid w:val="004C036E"/>
    <w:rsid w:val="004C06BC"/>
    <w:rsid w:val="004C38F3"/>
    <w:rsid w:val="004C65F9"/>
    <w:rsid w:val="004C6EFE"/>
    <w:rsid w:val="004D1AA6"/>
    <w:rsid w:val="004D1AED"/>
    <w:rsid w:val="004D2CCF"/>
    <w:rsid w:val="004D3247"/>
    <w:rsid w:val="004D3F5F"/>
    <w:rsid w:val="004D68BB"/>
    <w:rsid w:val="004D691D"/>
    <w:rsid w:val="004D7894"/>
    <w:rsid w:val="004E116E"/>
    <w:rsid w:val="004E12EA"/>
    <w:rsid w:val="004E1313"/>
    <w:rsid w:val="004E162C"/>
    <w:rsid w:val="004E320A"/>
    <w:rsid w:val="004E55DA"/>
    <w:rsid w:val="004E57ED"/>
    <w:rsid w:val="004E5CB7"/>
    <w:rsid w:val="004E61DE"/>
    <w:rsid w:val="004E62D8"/>
    <w:rsid w:val="004F2116"/>
    <w:rsid w:val="004F3B55"/>
    <w:rsid w:val="004F3E26"/>
    <w:rsid w:val="004F4C33"/>
    <w:rsid w:val="004F7CE6"/>
    <w:rsid w:val="00500173"/>
    <w:rsid w:val="0050129E"/>
    <w:rsid w:val="00501BF6"/>
    <w:rsid w:val="00503D0C"/>
    <w:rsid w:val="005042AD"/>
    <w:rsid w:val="0050523F"/>
    <w:rsid w:val="00505D13"/>
    <w:rsid w:val="005061FA"/>
    <w:rsid w:val="00507214"/>
    <w:rsid w:val="00507EFC"/>
    <w:rsid w:val="00510007"/>
    <w:rsid w:val="00511C7D"/>
    <w:rsid w:val="0051209B"/>
    <w:rsid w:val="005120A6"/>
    <w:rsid w:val="00512C44"/>
    <w:rsid w:val="0051367E"/>
    <w:rsid w:val="00513E39"/>
    <w:rsid w:val="00516583"/>
    <w:rsid w:val="00523396"/>
    <w:rsid w:val="00524240"/>
    <w:rsid w:val="005318F2"/>
    <w:rsid w:val="00532E70"/>
    <w:rsid w:val="005340EE"/>
    <w:rsid w:val="00535231"/>
    <w:rsid w:val="00535604"/>
    <w:rsid w:val="00535A6B"/>
    <w:rsid w:val="005369E2"/>
    <w:rsid w:val="005377E6"/>
    <w:rsid w:val="005411D3"/>
    <w:rsid w:val="00542074"/>
    <w:rsid w:val="0054484E"/>
    <w:rsid w:val="0054569F"/>
    <w:rsid w:val="005458C8"/>
    <w:rsid w:val="00547C72"/>
    <w:rsid w:val="0055135D"/>
    <w:rsid w:val="00553617"/>
    <w:rsid w:val="00556FBF"/>
    <w:rsid w:val="00557AF7"/>
    <w:rsid w:val="00561BCF"/>
    <w:rsid w:val="00562DB7"/>
    <w:rsid w:val="00564F9F"/>
    <w:rsid w:val="005652FE"/>
    <w:rsid w:val="0056628E"/>
    <w:rsid w:val="005673BA"/>
    <w:rsid w:val="005709C3"/>
    <w:rsid w:val="005728FD"/>
    <w:rsid w:val="00574D7B"/>
    <w:rsid w:val="00576197"/>
    <w:rsid w:val="005766DD"/>
    <w:rsid w:val="00577347"/>
    <w:rsid w:val="00577684"/>
    <w:rsid w:val="00581F1D"/>
    <w:rsid w:val="005850EB"/>
    <w:rsid w:val="00585646"/>
    <w:rsid w:val="00586356"/>
    <w:rsid w:val="005878B8"/>
    <w:rsid w:val="00590B09"/>
    <w:rsid w:val="00590C43"/>
    <w:rsid w:val="00591DC9"/>
    <w:rsid w:val="0059248B"/>
    <w:rsid w:val="00595081"/>
    <w:rsid w:val="005A195F"/>
    <w:rsid w:val="005A1AEC"/>
    <w:rsid w:val="005A2D84"/>
    <w:rsid w:val="005A606E"/>
    <w:rsid w:val="005B0A90"/>
    <w:rsid w:val="005B2613"/>
    <w:rsid w:val="005B2BAC"/>
    <w:rsid w:val="005B50C2"/>
    <w:rsid w:val="005B56F8"/>
    <w:rsid w:val="005C037E"/>
    <w:rsid w:val="005C125E"/>
    <w:rsid w:val="005C2B1B"/>
    <w:rsid w:val="005C3F3E"/>
    <w:rsid w:val="005C4158"/>
    <w:rsid w:val="005C4840"/>
    <w:rsid w:val="005C5583"/>
    <w:rsid w:val="005C623E"/>
    <w:rsid w:val="005C6EEE"/>
    <w:rsid w:val="005C7657"/>
    <w:rsid w:val="005D034D"/>
    <w:rsid w:val="005D1902"/>
    <w:rsid w:val="005D3E74"/>
    <w:rsid w:val="005D4347"/>
    <w:rsid w:val="005D5037"/>
    <w:rsid w:val="005D5765"/>
    <w:rsid w:val="005D709D"/>
    <w:rsid w:val="005D7C34"/>
    <w:rsid w:val="005D7D4F"/>
    <w:rsid w:val="005E24BF"/>
    <w:rsid w:val="005E2967"/>
    <w:rsid w:val="005E2D0C"/>
    <w:rsid w:val="005E581C"/>
    <w:rsid w:val="005F1159"/>
    <w:rsid w:val="005F2730"/>
    <w:rsid w:val="005F3701"/>
    <w:rsid w:val="005F60E3"/>
    <w:rsid w:val="005F713E"/>
    <w:rsid w:val="005F775F"/>
    <w:rsid w:val="00601BFD"/>
    <w:rsid w:val="006021DC"/>
    <w:rsid w:val="006022B4"/>
    <w:rsid w:val="00602D8F"/>
    <w:rsid w:val="00603361"/>
    <w:rsid w:val="0060357B"/>
    <w:rsid w:val="006037A6"/>
    <w:rsid w:val="00603F93"/>
    <w:rsid w:val="00604D75"/>
    <w:rsid w:val="00605264"/>
    <w:rsid w:val="00606655"/>
    <w:rsid w:val="006072AA"/>
    <w:rsid w:val="00610E5F"/>
    <w:rsid w:val="00613304"/>
    <w:rsid w:val="006146BA"/>
    <w:rsid w:val="0061482D"/>
    <w:rsid w:val="00614869"/>
    <w:rsid w:val="00615E5C"/>
    <w:rsid w:val="00617ABA"/>
    <w:rsid w:val="006207BD"/>
    <w:rsid w:val="006216FF"/>
    <w:rsid w:val="00621E68"/>
    <w:rsid w:val="006220AE"/>
    <w:rsid w:val="00622715"/>
    <w:rsid w:val="00630CDB"/>
    <w:rsid w:val="00631188"/>
    <w:rsid w:val="0063170E"/>
    <w:rsid w:val="00631C45"/>
    <w:rsid w:val="00633BB9"/>
    <w:rsid w:val="00633E5B"/>
    <w:rsid w:val="00634F94"/>
    <w:rsid w:val="0063529E"/>
    <w:rsid w:val="006354F2"/>
    <w:rsid w:val="00635745"/>
    <w:rsid w:val="00635DED"/>
    <w:rsid w:val="00636A11"/>
    <w:rsid w:val="00640131"/>
    <w:rsid w:val="00641DA9"/>
    <w:rsid w:val="0064460D"/>
    <w:rsid w:val="00647EFE"/>
    <w:rsid w:val="00650732"/>
    <w:rsid w:val="00652D3C"/>
    <w:rsid w:val="00653BF4"/>
    <w:rsid w:val="00654CFA"/>
    <w:rsid w:val="00655251"/>
    <w:rsid w:val="0065693E"/>
    <w:rsid w:val="006603B7"/>
    <w:rsid w:val="0066384A"/>
    <w:rsid w:val="00665062"/>
    <w:rsid w:val="00667CFF"/>
    <w:rsid w:val="00671544"/>
    <w:rsid w:val="00671C08"/>
    <w:rsid w:val="006728E7"/>
    <w:rsid w:val="00673D59"/>
    <w:rsid w:val="00675876"/>
    <w:rsid w:val="006760CC"/>
    <w:rsid w:val="0068144D"/>
    <w:rsid w:val="006830DD"/>
    <w:rsid w:val="00685279"/>
    <w:rsid w:val="0068641F"/>
    <w:rsid w:val="00690308"/>
    <w:rsid w:val="006923E3"/>
    <w:rsid w:val="0069306F"/>
    <w:rsid w:val="006944EE"/>
    <w:rsid w:val="0069730D"/>
    <w:rsid w:val="006A03DE"/>
    <w:rsid w:val="006A072A"/>
    <w:rsid w:val="006A1E10"/>
    <w:rsid w:val="006A49C8"/>
    <w:rsid w:val="006A5ED8"/>
    <w:rsid w:val="006A7B9F"/>
    <w:rsid w:val="006B3766"/>
    <w:rsid w:val="006B3CEB"/>
    <w:rsid w:val="006B3EFF"/>
    <w:rsid w:val="006B4158"/>
    <w:rsid w:val="006B419B"/>
    <w:rsid w:val="006B5A51"/>
    <w:rsid w:val="006B6566"/>
    <w:rsid w:val="006C3ABD"/>
    <w:rsid w:val="006C4C83"/>
    <w:rsid w:val="006C68EC"/>
    <w:rsid w:val="006C73C1"/>
    <w:rsid w:val="006C7C25"/>
    <w:rsid w:val="006D1D1C"/>
    <w:rsid w:val="006D3408"/>
    <w:rsid w:val="006D3512"/>
    <w:rsid w:val="006D3C5A"/>
    <w:rsid w:val="006D5E3B"/>
    <w:rsid w:val="006D6EA4"/>
    <w:rsid w:val="006D782E"/>
    <w:rsid w:val="006E06F2"/>
    <w:rsid w:val="006E0E2D"/>
    <w:rsid w:val="006E25B8"/>
    <w:rsid w:val="006E2F9B"/>
    <w:rsid w:val="006E435A"/>
    <w:rsid w:val="006E487D"/>
    <w:rsid w:val="006E5732"/>
    <w:rsid w:val="006E76ED"/>
    <w:rsid w:val="006E76F5"/>
    <w:rsid w:val="006E7BDD"/>
    <w:rsid w:val="006E7D44"/>
    <w:rsid w:val="006F02D4"/>
    <w:rsid w:val="006F2322"/>
    <w:rsid w:val="006F2969"/>
    <w:rsid w:val="006F3F39"/>
    <w:rsid w:val="006F4B19"/>
    <w:rsid w:val="006F5CAD"/>
    <w:rsid w:val="006F5F0C"/>
    <w:rsid w:val="006F7093"/>
    <w:rsid w:val="00700520"/>
    <w:rsid w:val="00703925"/>
    <w:rsid w:val="00703D22"/>
    <w:rsid w:val="00704230"/>
    <w:rsid w:val="007043F2"/>
    <w:rsid w:val="00705484"/>
    <w:rsid w:val="00706399"/>
    <w:rsid w:val="00706F0C"/>
    <w:rsid w:val="00710129"/>
    <w:rsid w:val="00712FC8"/>
    <w:rsid w:val="0071584C"/>
    <w:rsid w:val="00715DED"/>
    <w:rsid w:val="00716CBA"/>
    <w:rsid w:val="00720F2B"/>
    <w:rsid w:val="00721E48"/>
    <w:rsid w:val="00723F12"/>
    <w:rsid w:val="00725007"/>
    <w:rsid w:val="0072523A"/>
    <w:rsid w:val="0072609C"/>
    <w:rsid w:val="007263B1"/>
    <w:rsid w:val="00726F6A"/>
    <w:rsid w:val="00730703"/>
    <w:rsid w:val="007325C5"/>
    <w:rsid w:val="00734051"/>
    <w:rsid w:val="00735275"/>
    <w:rsid w:val="00736C50"/>
    <w:rsid w:val="007402EF"/>
    <w:rsid w:val="0074717D"/>
    <w:rsid w:val="00747EF3"/>
    <w:rsid w:val="0075435D"/>
    <w:rsid w:val="00762A4C"/>
    <w:rsid w:val="007633D3"/>
    <w:rsid w:val="00763A99"/>
    <w:rsid w:val="00765904"/>
    <w:rsid w:val="00766653"/>
    <w:rsid w:val="00766DAF"/>
    <w:rsid w:val="00771D98"/>
    <w:rsid w:val="00772D76"/>
    <w:rsid w:val="007762CE"/>
    <w:rsid w:val="007779C0"/>
    <w:rsid w:val="0078028B"/>
    <w:rsid w:val="00780687"/>
    <w:rsid w:val="00780D36"/>
    <w:rsid w:val="007820BA"/>
    <w:rsid w:val="00782C47"/>
    <w:rsid w:val="007830B5"/>
    <w:rsid w:val="00783A1B"/>
    <w:rsid w:val="007848D0"/>
    <w:rsid w:val="00784C71"/>
    <w:rsid w:val="00786BBD"/>
    <w:rsid w:val="0079014F"/>
    <w:rsid w:val="007904DA"/>
    <w:rsid w:val="00790FC8"/>
    <w:rsid w:val="00792151"/>
    <w:rsid w:val="00792E5D"/>
    <w:rsid w:val="00794D83"/>
    <w:rsid w:val="007951AA"/>
    <w:rsid w:val="00795BAD"/>
    <w:rsid w:val="007A09CD"/>
    <w:rsid w:val="007A25CB"/>
    <w:rsid w:val="007A378F"/>
    <w:rsid w:val="007A3932"/>
    <w:rsid w:val="007A3C59"/>
    <w:rsid w:val="007A49C2"/>
    <w:rsid w:val="007A520D"/>
    <w:rsid w:val="007A5AD3"/>
    <w:rsid w:val="007A5FA0"/>
    <w:rsid w:val="007A70DD"/>
    <w:rsid w:val="007B0048"/>
    <w:rsid w:val="007B04B7"/>
    <w:rsid w:val="007B05F3"/>
    <w:rsid w:val="007B0E68"/>
    <w:rsid w:val="007B251D"/>
    <w:rsid w:val="007B4C05"/>
    <w:rsid w:val="007B4EBE"/>
    <w:rsid w:val="007B63FE"/>
    <w:rsid w:val="007B7848"/>
    <w:rsid w:val="007C3B6D"/>
    <w:rsid w:val="007C50EB"/>
    <w:rsid w:val="007C600D"/>
    <w:rsid w:val="007C6120"/>
    <w:rsid w:val="007C6F3A"/>
    <w:rsid w:val="007C6FC2"/>
    <w:rsid w:val="007D116B"/>
    <w:rsid w:val="007D161C"/>
    <w:rsid w:val="007D1B11"/>
    <w:rsid w:val="007D20C3"/>
    <w:rsid w:val="007D3EED"/>
    <w:rsid w:val="007D41A7"/>
    <w:rsid w:val="007D62CB"/>
    <w:rsid w:val="007D6D74"/>
    <w:rsid w:val="007E071C"/>
    <w:rsid w:val="007E15B7"/>
    <w:rsid w:val="007E4410"/>
    <w:rsid w:val="007E4590"/>
    <w:rsid w:val="007E68CD"/>
    <w:rsid w:val="007E760E"/>
    <w:rsid w:val="007E7789"/>
    <w:rsid w:val="007E7D5A"/>
    <w:rsid w:val="007F246A"/>
    <w:rsid w:val="007F79A4"/>
    <w:rsid w:val="007F7AB7"/>
    <w:rsid w:val="00801B99"/>
    <w:rsid w:val="0080398E"/>
    <w:rsid w:val="00804427"/>
    <w:rsid w:val="00805421"/>
    <w:rsid w:val="00805B56"/>
    <w:rsid w:val="00805F49"/>
    <w:rsid w:val="008067CF"/>
    <w:rsid w:val="008075E8"/>
    <w:rsid w:val="00807DD3"/>
    <w:rsid w:val="00807ECE"/>
    <w:rsid w:val="00810208"/>
    <w:rsid w:val="008137B7"/>
    <w:rsid w:val="00816921"/>
    <w:rsid w:val="00816DDA"/>
    <w:rsid w:val="00817B18"/>
    <w:rsid w:val="00820238"/>
    <w:rsid w:val="00821265"/>
    <w:rsid w:val="00822247"/>
    <w:rsid w:val="00822B56"/>
    <w:rsid w:val="00822C2D"/>
    <w:rsid w:val="008230B4"/>
    <w:rsid w:val="00823A5E"/>
    <w:rsid w:val="00823E9A"/>
    <w:rsid w:val="00824E46"/>
    <w:rsid w:val="00826AB4"/>
    <w:rsid w:val="00827104"/>
    <w:rsid w:val="00827AC5"/>
    <w:rsid w:val="00830F65"/>
    <w:rsid w:val="00831036"/>
    <w:rsid w:val="008316EC"/>
    <w:rsid w:val="00835354"/>
    <w:rsid w:val="008420E4"/>
    <w:rsid w:val="008432C0"/>
    <w:rsid w:val="00843378"/>
    <w:rsid w:val="00844246"/>
    <w:rsid w:val="00844702"/>
    <w:rsid w:val="00844DBC"/>
    <w:rsid w:val="00845791"/>
    <w:rsid w:val="00846B1F"/>
    <w:rsid w:val="00846F9E"/>
    <w:rsid w:val="00850015"/>
    <w:rsid w:val="00850500"/>
    <w:rsid w:val="00850EE4"/>
    <w:rsid w:val="00851394"/>
    <w:rsid w:val="00852180"/>
    <w:rsid w:val="00852311"/>
    <w:rsid w:val="008538B8"/>
    <w:rsid w:val="008554F4"/>
    <w:rsid w:val="00855B84"/>
    <w:rsid w:val="008561AB"/>
    <w:rsid w:val="00857D2E"/>
    <w:rsid w:val="00862FA2"/>
    <w:rsid w:val="00863D80"/>
    <w:rsid w:val="00864147"/>
    <w:rsid w:val="008655A6"/>
    <w:rsid w:val="008668FA"/>
    <w:rsid w:val="00873210"/>
    <w:rsid w:val="00880593"/>
    <w:rsid w:val="00881691"/>
    <w:rsid w:val="00881D7B"/>
    <w:rsid w:val="0088736B"/>
    <w:rsid w:val="00890BFF"/>
    <w:rsid w:val="008912AF"/>
    <w:rsid w:val="008922BB"/>
    <w:rsid w:val="0089260A"/>
    <w:rsid w:val="00892803"/>
    <w:rsid w:val="0089369B"/>
    <w:rsid w:val="008946B0"/>
    <w:rsid w:val="0089587E"/>
    <w:rsid w:val="00895A5B"/>
    <w:rsid w:val="008A0629"/>
    <w:rsid w:val="008A13FA"/>
    <w:rsid w:val="008A1F19"/>
    <w:rsid w:val="008A21E9"/>
    <w:rsid w:val="008A38E9"/>
    <w:rsid w:val="008A4AAF"/>
    <w:rsid w:val="008B0B87"/>
    <w:rsid w:val="008B374C"/>
    <w:rsid w:val="008B5EB2"/>
    <w:rsid w:val="008C0901"/>
    <w:rsid w:val="008C2905"/>
    <w:rsid w:val="008C3514"/>
    <w:rsid w:val="008C5278"/>
    <w:rsid w:val="008C7366"/>
    <w:rsid w:val="008D2CF7"/>
    <w:rsid w:val="008D4CF0"/>
    <w:rsid w:val="008D4F22"/>
    <w:rsid w:val="008D6C58"/>
    <w:rsid w:val="008D6ECC"/>
    <w:rsid w:val="008D7417"/>
    <w:rsid w:val="008D7697"/>
    <w:rsid w:val="008D7BA7"/>
    <w:rsid w:val="008E0D0F"/>
    <w:rsid w:val="008E218E"/>
    <w:rsid w:val="008E34BA"/>
    <w:rsid w:val="008E3A4B"/>
    <w:rsid w:val="008E3B2C"/>
    <w:rsid w:val="008E4829"/>
    <w:rsid w:val="008F1307"/>
    <w:rsid w:val="008F4279"/>
    <w:rsid w:val="008F4678"/>
    <w:rsid w:val="008F5110"/>
    <w:rsid w:val="008F656C"/>
    <w:rsid w:val="008F6D21"/>
    <w:rsid w:val="008F7901"/>
    <w:rsid w:val="0090139F"/>
    <w:rsid w:val="009014AF"/>
    <w:rsid w:val="00901B59"/>
    <w:rsid w:val="009020FC"/>
    <w:rsid w:val="009036EF"/>
    <w:rsid w:val="00904045"/>
    <w:rsid w:val="00905832"/>
    <w:rsid w:val="00906DB5"/>
    <w:rsid w:val="0090745D"/>
    <w:rsid w:val="00910DD3"/>
    <w:rsid w:val="00912ED3"/>
    <w:rsid w:val="00915411"/>
    <w:rsid w:val="0091578A"/>
    <w:rsid w:val="00915802"/>
    <w:rsid w:val="00917B18"/>
    <w:rsid w:val="00924932"/>
    <w:rsid w:val="00925943"/>
    <w:rsid w:val="00927192"/>
    <w:rsid w:val="00931172"/>
    <w:rsid w:val="0093144A"/>
    <w:rsid w:val="00932F5D"/>
    <w:rsid w:val="00933517"/>
    <w:rsid w:val="00933A13"/>
    <w:rsid w:val="009367AA"/>
    <w:rsid w:val="00936831"/>
    <w:rsid w:val="00936951"/>
    <w:rsid w:val="009373E3"/>
    <w:rsid w:val="00937433"/>
    <w:rsid w:val="009405E2"/>
    <w:rsid w:val="009405EA"/>
    <w:rsid w:val="009413F9"/>
    <w:rsid w:val="009414D2"/>
    <w:rsid w:val="00942A47"/>
    <w:rsid w:val="00942CC7"/>
    <w:rsid w:val="0094317E"/>
    <w:rsid w:val="009434E7"/>
    <w:rsid w:val="00944C30"/>
    <w:rsid w:val="00945348"/>
    <w:rsid w:val="00945D11"/>
    <w:rsid w:val="009463FF"/>
    <w:rsid w:val="00947515"/>
    <w:rsid w:val="00947577"/>
    <w:rsid w:val="00947B57"/>
    <w:rsid w:val="0095065F"/>
    <w:rsid w:val="009518C9"/>
    <w:rsid w:val="00954EAC"/>
    <w:rsid w:val="009555CA"/>
    <w:rsid w:val="00956283"/>
    <w:rsid w:val="00957437"/>
    <w:rsid w:val="0096219D"/>
    <w:rsid w:val="00962E2C"/>
    <w:rsid w:val="00964D53"/>
    <w:rsid w:val="00966048"/>
    <w:rsid w:val="009660A2"/>
    <w:rsid w:val="0096624D"/>
    <w:rsid w:val="00966500"/>
    <w:rsid w:val="00970A4C"/>
    <w:rsid w:val="00970C39"/>
    <w:rsid w:val="00970EE4"/>
    <w:rsid w:val="009734EE"/>
    <w:rsid w:val="00977997"/>
    <w:rsid w:val="0098083B"/>
    <w:rsid w:val="00986F24"/>
    <w:rsid w:val="00991471"/>
    <w:rsid w:val="009941A0"/>
    <w:rsid w:val="009945EF"/>
    <w:rsid w:val="009948CA"/>
    <w:rsid w:val="00994D69"/>
    <w:rsid w:val="00995949"/>
    <w:rsid w:val="00997D4D"/>
    <w:rsid w:val="009A0928"/>
    <w:rsid w:val="009A17D4"/>
    <w:rsid w:val="009A2A03"/>
    <w:rsid w:val="009A4D0F"/>
    <w:rsid w:val="009A652A"/>
    <w:rsid w:val="009A6CF2"/>
    <w:rsid w:val="009B0F3D"/>
    <w:rsid w:val="009B144E"/>
    <w:rsid w:val="009B1E62"/>
    <w:rsid w:val="009B295F"/>
    <w:rsid w:val="009B2B0D"/>
    <w:rsid w:val="009B39D6"/>
    <w:rsid w:val="009B5527"/>
    <w:rsid w:val="009B5C8B"/>
    <w:rsid w:val="009B70D8"/>
    <w:rsid w:val="009B73F5"/>
    <w:rsid w:val="009B7A11"/>
    <w:rsid w:val="009C0F62"/>
    <w:rsid w:val="009C1433"/>
    <w:rsid w:val="009C4C85"/>
    <w:rsid w:val="009C515A"/>
    <w:rsid w:val="009C5854"/>
    <w:rsid w:val="009C6CF0"/>
    <w:rsid w:val="009C73E7"/>
    <w:rsid w:val="009D0830"/>
    <w:rsid w:val="009D0FFB"/>
    <w:rsid w:val="009D1A3B"/>
    <w:rsid w:val="009D2B4E"/>
    <w:rsid w:val="009D2CAD"/>
    <w:rsid w:val="009D5E8D"/>
    <w:rsid w:val="009D638F"/>
    <w:rsid w:val="009E0692"/>
    <w:rsid w:val="009E2D53"/>
    <w:rsid w:val="009E5667"/>
    <w:rsid w:val="009E6140"/>
    <w:rsid w:val="009E7014"/>
    <w:rsid w:val="009F041E"/>
    <w:rsid w:val="009F1675"/>
    <w:rsid w:val="009F29A4"/>
    <w:rsid w:val="009F7630"/>
    <w:rsid w:val="00A00756"/>
    <w:rsid w:val="00A0261A"/>
    <w:rsid w:val="00A047EB"/>
    <w:rsid w:val="00A0569A"/>
    <w:rsid w:val="00A06B2D"/>
    <w:rsid w:val="00A06C9A"/>
    <w:rsid w:val="00A13139"/>
    <w:rsid w:val="00A13341"/>
    <w:rsid w:val="00A13C44"/>
    <w:rsid w:val="00A14136"/>
    <w:rsid w:val="00A17083"/>
    <w:rsid w:val="00A2254D"/>
    <w:rsid w:val="00A26950"/>
    <w:rsid w:val="00A27516"/>
    <w:rsid w:val="00A31A3E"/>
    <w:rsid w:val="00A32028"/>
    <w:rsid w:val="00A3254C"/>
    <w:rsid w:val="00A333CE"/>
    <w:rsid w:val="00A338DC"/>
    <w:rsid w:val="00A36C0F"/>
    <w:rsid w:val="00A40DD7"/>
    <w:rsid w:val="00A44403"/>
    <w:rsid w:val="00A44C0C"/>
    <w:rsid w:val="00A46D9C"/>
    <w:rsid w:val="00A5018C"/>
    <w:rsid w:val="00A501A5"/>
    <w:rsid w:val="00A504F5"/>
    <w:rsid w:val="00A51662"/>
    <w:rsid w:val="00A53F9C"/>
    <w:rsid w:val="00A576C5"/>
    <w:rsid w:val="00A62862"/>
    <w:rsid w:val="00A630B9"/>
    <w:rsid w:val="00A65567"/>
    <w:rsid w:val="00A673C2"/>
    <w:rsid w:val="00A67C7C"/>
    <w:rsid w:val="00A67FA7"/>
    <w:rsid w:val="00A70EED"/>
    <w:rsid w:val="00A72BA9"/>
    <w:rsid w:val="00A72FAA"/>
    <w:rsid w:val="00A73044"/>
    <w:rsid w:val="00A73475"/>
    <w:rsid w:val="00A73968"/>
    <w:rsid w:val="00A73EFF"/>
    <w:rsid w:val="00A75725"/>
    <w:rsid w:val="00A80929"/>
    <w:rsid w:val="00A84588"/>
    <w:rsid w:val="00A858F3"/>
    <w:rsid w:val="00A85FB8"/>
    <w:rsid w:val="00A86412"/>
    <w:rsid w:val="00A87CEE"/>
    <w:rsid w:val="00A902F3"/>
    <w:rsid w:val="00A90EF1"/>
    <w:rsid w:val="00A94602"/>
    <w:rsid w:val="00A9496F"/>
    <w:rsid w:val="00A959BF"/>
    <w:rsid w:val="00A95CBD"/>
    <w:rsid w:val="00A966CB"/>
    <w:rsid w:val="00A96B01"/>
    <w:rsid w:val="00AA0CF2"/>
    <w:rsid w:val="00AA2471"/>
    <w:rsid w:val="00AA31EB"/>
    <w:rsid w:val="00AA5EAD"/>
    <w:rsid w:val="00AB00CC"/>
    <w:rsid w:val="00AB01E1"/>
    <w:rsid w:val="00AB0B02"/>
    <w:rsid w:val="00AB16DD"/>
    <w:rsid w:val="00AB2C89"/>
    <w:rsid w:val="00AB2DFC"/>
    <w:rsid w:val="00AB475D"/>
    <w:rsid w:val="00AB570D"/>
    <w:rsid w:val="00AB6F81"/>
    <w:rsid w:val="00AC0093"/>
    <w:rsid w:val="00AC04F0"/>
    <w:rsid w:val="00AC61AF"/>
    <w:rsid w:val="00AC7789"/>
    <w:rsid w:val="00AC790A"/>
    <w:rsid w:val="00AD06A9"/>
    <w:rsid w:val="00AD3E10"/>
    <w:rsid w:val="00AD6E7D"/>
    <w:rsid w:val="00AE1192"/>
    <w:rsid w:val="00AE2A53"/>
    <w:rsid w:val="00AE3514"/>
    <w:rsid w:val="00AE5150"/>
    <w:rsid w:val="00AE6933"/>
    <w:rsid w:val="00AF0112"/>
    <w:rsid w:val="00AF28C1"/>
    <w:rsid w:val="00AF3249"/>
    <w:rsid w:val="00AF3B47"/>
    <w:rsid w:val="00B00327"/>
    <w:rsid w:val="00B0043E"/>
    <w:rsid w:val="00B005ED"/>
    <w:rsid w:val="00B007C2"/>
    <w:rsid w:val="00B01329"/>
    <w:rsid w:val="00B026FC"/>
    <w:rsid w:val="00B06856"/>
    <w:rsid w:val="00B06BE7"/>
    <w:rsid w:val="00B10122"/>
    <w:rsid w:val="00B11FB6"/>
    <w:rsid w:val="00B12B37"/>
    <w:rsid w:val="00B12E10"/>
    <w:rsid w:val="00B13139"/>
    <w:rsid w:val="00B13ECC"/>
    <w:rsid w:val="00B14A31"/>
    <w:rsid w:val="00B15D20"/>
    <w:rsid w:val="00B2152B"/>
    <w:rsid w:val="00B22531"/>
    <w:rsid w:val="00B242D5"/>
    <w:rsid w:val="00B24391"/>
    <w:rsid w:val="00B31A58"/>
    <w:rsid w:val="00B320B3"/>
    <w:rsid w:val="00B34022"/>
    <w:rsid w:val="00B34232"/>
    <w:rsid w:val="00B34F22"/>
    <w:rsid w:val="00B35F20"/>
    <w:rsid w:val="00B370C4"/>
    <w:rsid w:val="00B376A2"/>
    <w:rsid w:val="00B4015A"/>
    <w:rsid w:val="00B44214"/>
    <w:rsid w:val="00B46AAF"/>
    <w:rsid w:val="00B473CE"/>
    <w:rsid w:val="00B47489"/>
    <w:rsid w:val="00B50F00"/>
    <w:rsid w:val="00B53644"/>
    <w:rsid w:val="00B57B33"/>
    <w:rsid w:val="00B60D44"/>
    <w:rsid w:val="00B60FE2"/>
    <w:rsid w:val="00B61E56"/>
    <w:rsid w:val="00B61F31"/>
    <w:rsid w:val="00B62341"/>
    <w:rsid w:val="00B6238A"/>
    <w:rsid w:val="00B6251A"/>
    <w:rsid w:val="00B634E6"/>
    <w:rsid w:val="00B64CBB"/>
    <w:rsid w:val="00B65403"/>
    <w:rsid w:val="00B65BD4"/>
    <w:rsid w:val="00B67010"/>
    <w:rsid w:val="00B70FF4"/>
    <w:rsid w:val="00B722D9"/>
    <w:rsid w:val="00B72E14"/>
    <w:rsid w:val="00B75718"/>
    <w:rsid w:val="00B81599"/>
    <w:rsid w:val="00B828E6"/>
    <w:rsid w:val="00B83772"/>
    <w:rsid w:val="00B84B52"/>
    <w:rsid w:val="00B86AA6"/>
    <w:rsid w:val="00B86C2A"/>
    <w:rsid w:val="00B8752A"/>
    <w:rsid w:val="00B9229A"/>
    <w:rsid w:val="00B93B5B"/>
    <w:rsid w:val="00B9462F"/>
    <w:rsid w:val="00B948EF"/>
    <w:rsid w:val="00B96A4F"/>
    <w:rsid w:val="00B96B7F"/>
    <w:rsid w:val="00B96DC0"/>
    <w:rsid w:val="00B97651"/>
    <w:rsid w:val="00BA0668"/>
    <w:rsid w:val="00BA1923"/>
    <w:rsid w:val="00BA2A23"/>
    <w:rsid w:val="00BA33AB"/>
    <w:rsid w:val="00BA38E3"/>
    <w:rsid w:val="00BA4931"/>
    <w:rsid w:val="00BA5F7E"/>
    <w:rsid w:val="00BA66FB"/>
    <w:rsid w:val="00BA6825"/>
    <w:rsid w:val="00BA6D64"/>
    <w:rsid w:val="00BB0047"/>
    <w:rsid w:val="00BB06D6"/>
    <w:rsid w:val="00BB228C"/>
    <w:rsid w:val="00BB50E0"/>
    <w:rsid w:val="00BB71A5"/>
    <w:rsid w:val="00BB71F5"/>
    <w:rsid w:val="00BB79E8"/>
    <w:rsid w:val="00BC394A"/>
    <w:rsid w:val="00BC3B5A"/>
    <w:rsid w:val="00BC5E02"/>
    <w:rsid w:val="00BC6A34"/>
    <w:rsid w:val="00BD0D91"/>
    <w:rsid w:val="00BD164D"/>
    <w:rsid w:val="00BD2D1E"/>
    <w:rsid w:val="00BD42DB"/>
    <w:rsid w:val="00BD59B1"/>
    <w:rsid w:val="00BD6C8E"/>
    <w:rsid w:val="00BE1D16"/>
    <w:rsid w:val="00BE2A3C"/>
    <w:rsid w:val="00BE5986"/>
    <w:rsid w:val="00BE6B24"/>
    <w:rsid w:val="00BF12C6"/>
    <w:rsid w:val="00BF191C"/>
    <w:rsid w:val="00BF4E7A"/>
    <w:rsid w:val="00BF5048"/>
    <w:rsid w:val="00BF5124"/>
    <w:rsid w:val="00C00F61"/>
    <w:rsid w:val="00C0159A"/>
    <w:rsid w:val="00C02D8F"/>
    <w:rsid w:val="00C04064"/>
    <w:rsid w:val="00C04074"/>
    <w:rsid w:val="00C047A4"/>
    <w:rsid w:val="00C04CC0"/>
    <w:rsid w:val="00C0662E"/>
    <w:rsid w:val="00C1097F"/>
    <w:rsid w:val="00C10B79"/>
    <w:rsid w:val="00C11155"/>
    <w:rsid w:val="00C15976"/>
    <w:rsid w:val="00C16374"/>
    <w:rsid w:val="00C16453"/>
    <w:rsid w:val="00C1766B"/>
    <w:rsid w:val="00C201DE"/>
    <w:rsid w:val="00C214FB"/>
    <w:rsid w:val="00C2192E"/>
    <w:rsid w:val="00C21EA5"/>
    <w:rsid w:val="00C22633"/>
    <w:rsid w:val="00C23197"/>
    <w:rsid w:val="00C23EE7"/>
    <w:rsid w:val="00C25C26"/>
    <w:rsid w:val="00C305F0"/>
    <w:rsid w:val="00C31BDC"/>
    <w:rsid w:val="00C33111"/>
    <w:rsid w:val="00C33906"/>
    <w:rsid w:val="00C341F3"/>
    <w:rsid w:val="00C35EC6"/>
    <w:rsid w:val="00C3749B"/>
    <w:rsid w:val="00C37649"/>
    <w:rsid w:val="00C376E3"/>
    <w:rsid w:val="00C4446F"/>
    <w:rsid w:val="00C44A37"/>
    <w:rsid w:val="00C44B43"/>
    <w:rsid w:val="00C47316"/>
    <w:rsid w:val="00C47A30"/>
    <w:rsid w:val="00C52635"/>
    <w:rsid w:val="00C5443E"/>
    <w:rsid w:val="00C544E0"/>
    <w:rsid w:val="00C55515"/>
    <w:rsid w:val="00C559AF"/>
    <w:rsid w:val="00C563DE"/>
    <w:rsid w:val="00C5662B"/>
    <w:rsid w:val="00C60D31"/>
    <w:rsid w:val="00C637F5"/>
    <w:rsid w:val="00C65EE1"/>
    <w:rsid w:val="00C672B7"/>
    <w:rsid w:val="00C67CF6"/>
    <w:rsid w:val="00C73E04"/>
    <w:rsid w:val="00C75BB6"/>
    <w:rsid w:val="00C76560"/>
    <w:rsid w:val="00C7706C"/>
    <w:rsid w:val="00C77C20"/>
    <w:rsid w:val="00C81954"/>
    <w:rsid w:val="00C84D66"/>
    <w:rsid w:val="00C852FC"/>
    <w:rsid w:val="00C8665D"/>
    <w:rsid w:val="00C90162"/>
    <w:rsid w:val="00C909FB"/>
    <w:rsid w:val="00C91AD1"/>
    <w:rsid w:val="00C93428"/>
    <w:rsid w:val="00C97767"/>
    <w:rsid w:val="00CA1DC7"/>
    <w:rsid w:val="00CA2100"/>
    <w:rsid w:val="00CA3355"/>
    <w:rsid w:val="00CA36FE"/>
    <w:rsid w:val="00CA500C"/>
    <w:rsid w:val="00CA5F7A"/>
    <w:rsid w:val="00CB0102"/>
    <w:rsid w:val="00CB08A8"/>
    <w:rsid w:val="00CB0E59"/>
    <w:rsid w:val="00CB2BAD"/>
    <w:rsid w:val="00CB66D4"/>
    <w:rsid w:val="00CB79FE"/>
    <w:rsid w:val="00CC2185"/>
    <w:rsid w:val="00CC2353"/>
    <w:rsid w:val="00CC5500"/>
    <w:rsid w:val="00CC7E27"/>
    <w:rsid w:val="00CD2E64"/>
    <w:rsid w:val="00CD3225"/>
    <w:rsid w:val="00CD3623"/>
    <w:rsid w:val="00CD3B6F"/>
    <w:rsid w:val="00CD4049"/>
    <w:rsid w:val="00CD43A3"/>
    <w:rsid w:val="00CD5445"/>
    <w:rsid w:val="00CD5FB6"/>
    <w:rsid w:val="00CD621F"/>
    <w:rsid w:val="00CD78F3"/>
    <w:rsid w:val="00CE2F82"/>
    <w:rsid w:val="00CE3AD7"/>
    <w:rsid w:val="00CE420D"/>
    <w:rsid w:val="00CE4E9F"/>
    <w:rsid w:val="00CE5514"/>
    <w:rsid w:val="00CE57AF"/>
    <w:rsid w:val="00CE5F15"/>
    <w:rsid w:val="00CE60B3"/>
    <w:rsid w:val="00CF11C6"/>
    <w:rsid w:val="00CF27AE"/>
    <w:rsid w:val="00CF334A"/>
    <w:rsid w:val="00CF338B"/>
    <w:rsid w:val="00CF4EBF"/>
    <w:rsid w:val="00CF69FF"/>
    <w:rsid w:val="00D000C9"/>
    <w:rsid w:val="00D02240"/>
    <w:rsid w:val="00D02608"/>
    <w:rsid w:val="00D03788"/>
    <w:rsid w:val="00D06BAC"/>
    <w:rsid w:val="00D106E8"/>
    <w:rsid w:val="00D11382"/>
    <w:rsid w:val="00D114BF"/>
    <w:rsid w:val="00D114E8"/>
    <w:rsid w:val="00D123A0"/>
    <w:rsid w:val="00D12957"/>
    <w:rsid w:val="00D13DC8"/>
    <w:rsid w:val="00D147AA"/>
    <w:rsid w:val="00D14D9D"/>
    <w:rsid w:val="00D15EE8"/>
    <w:rsid w:val="00D1635E"/>
    <w:rsid w:val="00D1641A"/>
    <w:rsid w:val="00D16BE1"/>
    <w:rsid w:val="00D179FD"/>
    <w:rsid w:val="00D20026"/>
    <w:rsid w:val="00D204AF"/>
    <w:rsid w:val="00D212F0"/>
    <w:rsid w:val="00D21624"/>
    <w:rsid w:val="00D225DA"/>
    <w:rsid w:val="00D22729"/>
    <w:rsid w:val="00D30719"/>
    <w:rsid w:val="00D3076A"/>
    <w:rsid w:val="00D30F13"/>
    <w:rsid w:val="00D318D4"/>
    <w:rsid w:val="00D329D7"/>
    <w:rsid w:val="00D33F73"/>
    <w:rsid w:val="00D34AFB"/>
    <w:rsid w:val="00D37C9C"/>
    <w:rsid w:val="00D40F7B"/>
    <w:rsid w:val="00D43096"/>
    <w:rsid w:val="00D46094"/>
    <w:rsid w:val="00D4718C"/>
    <w:rsid w:val="00D477B8"/>
    <w:rsid w:val="00D50710"/>
    <w:rsid w:val="00D527EB"/>
    <w:rsid w:val="00D557E1"/>
    <w:rsid w:val="00D55813"/>
    <w:rsid w:val="00D55F85"/>
    <w:rsid w:val="00D56A90"/>
    <w:rsid w:val="00D60ECA"/>
    <w:rsid w:val="00D61AFE"/>
    <w:rsid w:val="00D636B6"/>
    <w:rsid w:val="00D65234"/>
    <w:rsid w:val="00D65E12"/>
    <w:rsid w:val="00D7071A"/>
    <w:rsid w:val="00D71F63"/>
    <w:rsid w:val="00D75364"/>
    <w:rsid w:val="00D76B1C"/>
    <w:rsid w:val="00D77423"/>
    <w:rsid w:val="00D7742A"/>
    <w:rsid w:val="00D8133A"/>
    <w:rsid w:val="00D8150E"/>
    <w:rsid w:val="00D823D0"/>
    <w:rsid w:val="00D82E90"/>
    <w:rsid w:val="00D83B2D"/>
    <w:rsid w:val="00D861DA"/>
    <w:rsid w:val="00D86F97"/>
    <w:rsid w:val="00D904A0"/>
    <w:rsid w:val="00D907BD"/>
    <w:rsid w:val="00D908A9"/>
    <w:rsid w:val="00D90D45"/>
    <w:rsid w:val="00D9154B"/>
    <w:rsid w:val="00D92B5E"/>
    <w:rsid w:val="00D93375"/>
    <w:rsid w:val="00D936B2"/>
    <w:rsid w:val="00D966D1"/>
    <w:rsid w:val="00DA0A6E"/>
    <w:rsid w:val="00DA2335"/>
    <w:rsid w:val="00DA3E82"/>
    <w:rsid w:val="00DA5695"/>
    <w:rsid w:val="00DA56ED"/>
    <w:rsid w:val="00DA5873"/>
    <w:rsid w:val="00DA5B25"/>
    <w:rsid w:val="00DB1BA0"/>
    <w:rsid w:val="00DB5D13"/>
    <w:rsid w:val="00DB7509"/>
    <w:rsid w:val="00DC0013"/>
    <w:rsid w:val="00DC0BD7"/>
    <w:rsid w:val="00DC336A"/>
    <w:rsid w:val="00DC4A01"/>
    <w:rsid w:val="00DC5421"/>
    <w:rsid w:val="00DD2DD9"/>
    <w:rsid w:val="00DD3D21"/>
    <w:rsid w:val="00DD5D3D"/>
    <w:rsid w:val="00DD6AF1"/>
    <w:rsid w:val="00DD6B81"/>
    <w:rsid w:val="00DD7242"/>
    <w:rsid w:val="00DD7DA9"/>
    <w:rsid w:val="00DE01DA"/>
    <w:rsid w:val="00DE2B38"/>
    <w:rsid w:val="00DE2BC7"/>
    <w:rsid w:val="00DE3C3C"/>
    <w:rsid w:val="00DE4D72"/>
    <w:rsid w:val="00DE4F04"/>
    <w:rsid w:val="00DE598F"/>
    <w:rsid w:val="00DF0EBA"/>
    <w:rsid w:val="00DF19F1"/>
    <w:rsid w:val="00DF29C6"/>
    <w:rsid w:val="00DF4442"/>
    <w:rsid w:val="00DF44D6"/>
    <w:rsid w:val="00DF6157"/>
    <w:rsid w:val="00DF62E8"/>
    <w:rsid w:val="00DF6D2A"/>
    <w:rsid w:val="00E002EC"/>
    <w:rsid w:val="00E00730"/>
    <w:rsid w:val="00E0074D"/>
    <w:rsid w:val="00E00A44"/>
    <w:rsid w:val="00E025A7"/>
    <w:rsid w:val="00E03ADC"/>
    <w:rsid w:val="00E04374"/>
    <w:rsid w:val="00E13773"/>
    <w:rsid w:val="00E145DB"/>
    <w:rsid w:val="00E14D93"/>
    <w:rsid w:val="00E17482"/>
    <w:rsid w:val="00E21758"/>
    <w:rsid w:val="00E235CF"/>
    <w:rsid w:val="00E243E9"/>
    <w:rsid w:val="00E2524B"/>
    <w:rsid w:val="00E262CF"/>
    <w:rsid w:val="00E26E88"/>
    <w:rsid w:val="00E27C52"/>
    <w:rsid w:val="00E30FF0"/>
    <w:rsid w:val="00E31603"/>
    <w:rsid w:val="00E31AA9"/>
    <w:rsid w:val="00E33C27"/>
    <w:rsid w:val="00E36600"/>
    <w:rsid w:val="00E408BC"/>
    <w:rsid w:val="00E4147F"/>
    <w:rsid w:val="00E4366D"/>
    <w:rsid w:val="00E44E06"/>
    <w:rsid w:val="00E526C1"/>
    <w:rsid w:val="00E5286E"/>
    <w:rsid w:val="00E53811"/>
    <w:rsid w:val="00E545E3"/>
    <w:rsid w:val="00E55248"/>
    <w:rsid w:val="00E56BA0"/>
    <w:rsid w:val="00E618C8"/>
    <w:rsid w:val="00E62BD7"/>
    <w:rsid w:val="00E6535E"/>
    <w:rsid w:val="00E659F2"/>
    <w:rsid w:val="00E66A02"/>
    <w:rsid w:val="00E67E38"/>
    <w:rsid w:val="00E70D1B"/>
    <w:rsid w:val="00E70F0E"/>
    <w:rsid w:val="00E73270"/>
    <w:rsid w:val="00E7410C"/>
    <w:rsid w:val="00E760FA"/>
    <w:rsid w:val="00E76C05"/>
    <w:rsid w:val="00E77D05"/>
    <w:rsid w:val="00E8087E"/>
    <w:rsid w:val="00E80AF7"/>
    <w:rsid w:val="00E81BD3"/>
    <w:rsid w:val="00E839A4"/>
    <w:rsid w:val="00E84300"/>
    <w:rsid w:val="00E85AC4"/>
    <w:rsid w:val="00E903FA"/>
    <w:rsid w:val="00E911B9"/>
    <w:rsid w:val="00E914D6"/>
    <w:rsid w:val="00E92A8D"/>
    <w:rsid w:val="00E94385"/>
    <w:rsid w:val="00E95B94"/>
    <w:rsid w:val="00E962E7"/>
    <w:rsid w:val="00E967C3"/>
    <w:rsid w:val="00E96A37"/>
    <w:rsid w:val="00E9728E"/>
    <w:rsid w:val="00EA0200"/>
    <w:rsid w:val="00EA2A2D"/>
    <w:rsid w:val="00EA2F86"/>
    <w:rsid w:val="00EA57C2"/>
    <w:rsid w:val="00EA695A"/>
    <w:rsid w:val="00EB0B87"/>
    <w:rsid w:val="00EB14BB"/>
    <w:rsid w:val="00EB1DA2"/>
    <w:rsid w:val="00EB2B34"/>
    <w:rsid w:val="00EB3987"/>
    <w:rsid w:val="00EB49A7"/>
    <w:rsid w:val="00EB6057"/>
    <w:rsid w:val="00EB6C96"/>
    <w:rsid w:val="00EB7E66"/>
    <w:rsid w:val="00EC0DB5"/>
    <w:rsid w:val="00EC13F4"/>
    <w:rsid w:val="00EC23D0"/>
    <w:rsid w:val="00EC4215"/>
    <w:rsid w:val="00EC5606"/>
    <w:rsid w:val="00EC61ED"/>
    <w:rsid w:val="00EC66B6"/>
    <w:rsid w:val="00EC6966"/>
    <w:rsid w:val="00EC6E79"/>
    <w:rsid w:val="00ED1462"/>
    <w:rsid w:val="00ED2228"/>
    <w:rsid w:val="00ED2E77"/>
    <w:rsid w:val="00ED3EB3"/>
    <w:rsid w:val="00ED77CC"/>
    <w:rsid w:val="00ED7CC8"/>
    <w:rsid w:val="00EE2438"/>
    <w:rsid w:val="00EE2859"/>
    <w:rsid w:val="00EE6E9F"/>
    <w:rsid w:val="00EE7D11"/>
    <w:rsid w:val="00EF1B73"/>
    <w:rsid w:val="00EF2E05"/>
    <w:rsid w:val="00EF31BD"/>
    <w:rsid w:val="00EF3EE0"/>
    <w:rsid w:val="00EF4D36"/>
    <w:rsid w:val="00EF67DE"/>
    <w:rsid w:val="00EF73AE"/>
    <w:rsid w:val="00F00612"/>
    <w:rsid w:val="00F061AF"/>
    <w:rsid w:val="00F063DB"/>
    <w:rsid w:val="00F06742"/>
    <w:rsid w:val="00F079B1"/>
    <w:rsid w:val="00F07D66"/>
    <w:rsid w:val="00F10079"/>
    <w:rsid w:val="00F10A26"/>
    <w:rsid w:val="00F11262"/>
    <w:rsid w:val="00F1229E"/>
    <w:rsid w:val="00F125CC"/>
    <w:rsid w:val="00F13E92"/>
    <w:rsid w:val="00F14595"/>
    <w:rsid w:val="00F15134"/>
    <w:rsid w:val="00F205B5"/>
    <w:rsid w:val="00F232F3"/>
    <w:rsid w:val="00F24A09"/>
    <w:rsid w:val="00F255AD"/>
    <w:rsid w:val="00F271FA"/>
    <w:rsid w:val="00F3271B"/>
    <w:rsid w:val="00F33549"/>
    <w:rsid w:val="00F40444"/>
    <w:rsid w:val="00F42588"/>
    <w:rsid w:val="00F432E6"/>
    <w:rsid w:val="00F45950"/>
    <w:rsid w:val="00F46491"/>
    <w:rsid w:val="00F47249"/>
    <w:rsid w:val="00F4740B"/>
    <w:rsid w:val="00F51759"/>
    <w:rsid w:val="00F52316"/>
    <w:rsid w:val="00F5460D"/>
    <w:rsid w:val="00F553F6"/>
    <w:rsid w:val="00F56CA8"/>
    <w:rsid w:val="00F600D1"/>
    <w:rsid w:val="00F637F5"/>
    <w:rsid w:val="00F63B2C"/>
    <w:rsid w:val="00F653FF"/>
    <w:rsid w:val="00F663A8"/>
    <w:rsid w:val="00F66690"/>
    <w:rsid w:val="00F66D71"/>
    <w:rsid w:val="00F72A9C"/>
    <w:rsid w:val="00F72AA3"/>
    <w:rsid w:val="00F72D18"/>
    <w:rsid w:val="00F739BB"/>
    <w:rsid w:val="00F740FE"/>
    <w:rsid w:val="00F750F7"/>
    <w:rsid w:val="00F751DE"/>
    <w:rsid w:val="00F7555E"/>
    <w:rsid w:val="00F75A4B"/>
    <w:rsid w:val="00F811ED"/>
    <w:rsid w:val="00F81A72"/>
    <w:rsid w:val="00F81AE9"/>
    <w:rsid w:val="00F82291"/>
    <w:rsid w:val="00F822A6"/>
    <w:rsid w:val="00F82339"/>
    <w:rsid w:val="00F82957"/>
    <w:rsid w:val="00F86C60"/>
    <w:rsid w:val="00F87557"/>
    <w:rsid w:val="00F87EA8"/>
    <w:rsid w:val="00F90391"/>
    <w:rsid w:val="00F923F5"/>
    <w:rsid w:val="00F92FF6"/>
    <w:rsid w:val="00F94316"/>
    <w:rsid w:val="00FA2142"/>
    <w:rsid w:val="00FA5754"/>
    <w:rsid w:val="00FA6493"/>
    <w:rsid w:val="00FB0C67"/>
    <w:rsid w:val="00FB247F"/>
    <w:rsid w:val="00FB2D7A"/>
    <w:rsid w:val="00FB35B5"/>
    <w:rsid w:val="00FB39B2"/>
    <w:rsid w:val="00FB4CA1"/>
    <w:rsid w:val="00FB4EDB"/>
    <w:rsid w:val="00FB68DE"/>
    <w:rsid w:val="00FB6C39"/>
    <w:rsid w:val="00FC11DB"/>
    <w:rsid w:val="00FC204C"/>
    <w:rsid w:val="00FC2355"/>
    <w:rsid w:val="00FC2671"/>
    <w:rsid w:val="00FC3AEA"/>
    <w:rsid w:val="00FC49C7"/>
    <w:rsid w:val="00FC5534"/>
    <w:rsid w:val="00FC57E4"/>
    <w:rsid w:val="00FC5C7A"/>
    <w:rsid w:val="00FC6301"/>
    <w:rsid w:val="00FC6AD3"/>
    <w:rsid w:val="00FD1595"/>
    <w:rsid w:val="00FD3CF2"/>
    <w:rsid w:val="00FD53C2"/>
    <w:rsid w:val="00FD56F9"/>
    <w:rsid w:val="00FE19F6"/>
    <w:rsid w:val="00FE22F0"/>
    <w:rsid w:val="00FE2727"/>
    <w:rsid w:val="00FE3468"/>
    <w:rsid w:val="00FE59FE"/>
    <w:rsid w:val="00FF2873"/>
    <w:rsid w:val="00FF76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EB6A9"/>
  <w15:chartTrackingRefBased/>
  <w15:docId w15:val="{CF0F367F-FC07-4BC6-A6E7-58168AC0F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1462"/>
    <w:rPr>
      <w:rFonts w:ascii="Times New Roman" w:hAnsi="Times New Roman"/>
    </w:rPr>
  </w:style>
  <w:style w:type="paragraph" w:styleId="10">
    <w:name w:val="heading 1"/>
    <w:basedOn w:val="a"/>
    <w:next w:val="a"/>
    <w:link w:val="1Char"/>
    <w:uiPriority w:val="9"/>
    <w:qFormat/>
    <w:rsid w:val="001163A3"/>
    <w:pPr>
      <w:keepNext/>
      <w:keepLines/>
      <w:numPr>
        <w:numId w:val="4"/>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unhideWhenUsed/>
    <w:qFormat/>
    <w:rsid w:val="001163A3"/>
    <w:pPr>
      <w:keepNext/>
      <w:keepLines/>
      <w:numPr>
        <w:ilvl w:val="1"/>
        <w:numId w:val="4"/>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1163A3"/>
    <w:pPr>
      <w:keepNext/>
      <w:keepLines/>
      <w:numPr>
        <w:ilvl w:val="2"/>
        <w:numId w:val="4"/>
      </w:numPr>
      <w:spacing w:before="160" w:after="80"/>
      <w:outlineLvl w:val="2"/>
    </w:pPr>
    <w:rPr>
      <w:rFonts w:eastAsiaTheme="majorEastAsia" w:cstheme="majorBidi"/>
      <w:color w:val="0F4761" w:themeColor="accent1" w:themeShade="BF"/>
      <w:sz w:val="28"/>
      <w:szCs w:val="28"/>
    </w:rPr>
  </w:style>
  <w:style w:type="paragraph" w:styleId="4">
    <w:name w:val="heading 4"/>
    <w:aliases w:val="1.1.1.1 styl 4"/>
    <w:basedOn w:val="11114"/>
    <w:next w:val="11114"/>
    <w:link w:val="4Char"/>
    <w:uiPriority w:val="9"/>
    <w:unhideWhenUsed/>
    <w:qFormat/>
    <w:rsid w:val="0003160B"/>
    <w:pPr>
      <w:keepNext/>
      <w:keepLines/>
      <w:numPr>
        <w:ilvl w:val="3"/>
        <w:numId w:val="4"/>
      </w:numPr>
      <w:spacing w:before="80" w:after="40"/>
      <w:outlineLvl w:val="3"/>
    </w:pPr>
    <w:rPr>
      <w:rFonts w:eastAsiaTheme="majorEastAsia" w:cstheme="majorBidi"/>
      <w:iCs/>
    </w:rPr>
  </w:style>
  <w:style w:type="paragraph" w:styleId="5">
    <w:name w:val="heading 5"/>
    <w:aliases w:val="1.1.1.1 στυλ4"/>
    <w:basedOn w:val="a"/>
    <w:next w:val="a"/>
    <w:link w:val="5Char"/>
    <w:autoRedefine/>
    <w:uiPriority w:val="9"/>
    <w:unhideWhenUsed/>
    <w:qFormat/>
    <w:rsid w:val="00F42588"/>
    <w:pPr>
      <w:keepNext/>
      <w:keepLines/>
      <w:numPr>
        <w:ilvl w:val="4"/>
        <w:numId w:val="4"/>
      </w:numPr>
      <w:spacing w:before="80" w:after="40"/>
      <w:outlineLvl w:val="4"/>
    </w:pPr>
    <w:rPr>
      <w:rFonts w:eastAsiaTheme="majorEastAsia" w:cstheme="majorBidi"/>
    </w:rPr>
  </w:style>
  <w:style w:type="paragraph" w:styleId="6">
    <w:name w:val="heading 6"/>
    <w:basedOn w:val="a"/>
    <w:next w:val="a"/>
    <w:link w:val="6Char"/>
    <w:uiPriority w:val="9"/>
    <w:semiHidden/>
    <w:unhideWhenUsed/>
    <w:qFormat/>
    <w:rsid w:val="001163A3"/>
    <w:pPr>
      <w:keepNext/>
      <w:keepLines/>
      <w:numPr>
        <w:ilvl w:val="5"/>
        <w:numId w:val="4"/>
      </w:numPr>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163A3"/>
    <w:pPr>
      <w:keepNext/>
      <w:keepLines/>
      <w:numPr>
        <w:ilvl w:val="6"/>
        <w:numId w:val="4"/>
      </w:numPr>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163A3"/>
    <w:pPr>
      <w:keepNext/>
      <w:keepLines/>
      <w:numPr>
        <w:ilvl w:val="7"/>
        <w:numId w:val="4"/>
      </w:numPr>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163A3"/>
    <w:pPr>
      <w:keepNext/>
      <w:keepLines/>
      <w:numPr>
        <w:ilvl w:val="8"/>
        <w:numId w:val="4"/>
      </w:numPr>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0"/>
    <w:uiPriority w:val="9"/>
    <w:rsid w:val="001163A3"/>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rsid w:val="001163A3"/>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rsid w:val="001163A3"/>
    <w:rPr>
      <w:rFonts w:eastAsiaTheme="majorEastAsia" w:cstheme="majorBidi"/>
      <w:color w:val="0F4761" w:themeColor="accent1" w:themeShade="BF"/>
      <w:sz w:val="28"/>
      <w:szCs w:val="28"/>
    </w:rPr>
  </w:style>
  <w:style w:type="character" w:customStyle="1" w:styleId="4Char">
    <w:name w:val="Επικεφαλίδα 4 Char"/>
    <w:aliases w:val="1.1.1.1 styl 4 Char"/>
    <w:basedOn w:val="a0"/>
    <w:link w:val="4"/>
    <w:uiPriority w:val="9"/>
    <w:rsid w:val="0003160B"/>
    <w:rPr>
      <w:rFonts w:ascii="Times New Roman" w:eastAsiaTheme="majorEastAsia" w:hAnsi="Times New Roman" w:cstheme="majorBidi"/>
      <w:iCs/>
    </w:rPr>
  </w:style>
  <w:style w:type="character" w:customStyle="1" w:styleId="5Char">
    <w:name w:val="Επικεφαλίδα 5 Char"/>
    <w:aliases w:val="1.1.1.1 στυλ4 Char"/>
    <w:basedOn w:val="a0"/>
    <w:link w:val="5"/>
    <w:uiPriority w:val="9"/>
    <w:rsid w:val="00F42588"/>
    <w:rPr>
      <w:rFonts w:ascii="Times New Roman" w:eastAsiaTheme="majorEastAsia" w:hAnsi="Times New Roman" w:cstheme="majorBidi"/>
    </w:rPr>
  </w:style>
  <w:style w:type="character" w:customStyle="1" w:styleId="6Char">
    <w:name w:val="Επικεφαλίδα 6 Char"/>
    <w:basedOn w:val="a0"/>
    <w:link w:val="6"/>
    <w:uiPriority w:val="9"/>
    <w:semiHidden/>
    <w:rsid w:val="001163A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163A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163A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163A3"/>
    <w:rPr>
      <w:rFonts w:eastAsiaTheme="majorEastAsia" w:cstheme="majorBidi"/>
      <w:color w:val="272727" w:themeColor="text1" w:themeTint="D8"/>
    </w:rPr>
  </w:style>
  <w:style w:type="paragraph" w:styleId="a3">
    <w:name w:val="Title"/>
    <w:basedOn w:val="a"/>
    <w:next w:val="a"/>
    <w:link w:val="Char"/>
    <w:uiPriority w:val="10"/>
    <w:qFormat/>
    <w:rsid w:val="001163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163A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163A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163A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163A3"/>
    <w:pPr>
      <w:spacing w:before="160"/>
      <w:jc w:val="center"/>
    </w:pPr>
    <w:rPr>
      <w:i/>
      <w:iCs/>
      <w:color w:val="404040" w:themeColor="text1" w:themeTint="BF"/>
    </w:rPr>
  </w:style>
  <w:style w:type="character" w:customStyle="1" w:styleId="Char1">
    <w:name w:val="Απόσπασμα Char"/>
    <w:basedOn w:val="a0"/>
    <w:link w:val="a5"/>
    <w:uiPriority w:val="29"/>
    <w:rsid w:val="001163A3"/>
    <w:rPr>
      <w:i/>
      <w:iCs/>
      <w:color w:val="404040" w:themeColor="text1" w:themeTint="BF"/>
    </w:rPr>
  </w:style>
  <w:style w:type="paragraph" w:styleId="a6">
    <w:name w:val="List Paragraph"/>
    <w:basedOn w:val="a"/>
    <w:uiPriority w:val="34"/>
    <w:qFormat/>
    <w:rsid w:val="001163A3"/>
    <w:pPr>
      <w:ind w:left="720"/>
      <w:contextualSpacing/>
    </w:pPr>
  </w:style>
  <w:style w:type="character" w:styleId="a7">
    <w:name w:val="Intense Emphasis"/>
    <w:basedOn w:val="a0"/>
    <w:uiPriority w:val="21"/>
    <w:qFormat/>
    <w:rsid w:val="001163A3"/>
    <w:rPr>
      <w:i/>
      <w:iCs/>
      <w:color w:val="0F4761" w:themeColor="accent1" w:themeShade="BF"/>
    </w:rPr>
  </w:style>
  <w:style w:type="paragraph" w:styleId="a8">
    <w:name w:val="Intense Quote"/>
    <w:basedOn w:val="a"/>
    <w:next w:val="a"/>
    <w:link w:val="Char2"/>
    <w:uiPriority w:val="30"/>
    <w:qFormat/>
    <w:rsid w:val="001163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1163A3"/>
    <w:rPr>
      <w:i/>
      <w:iCs/>
      <w:color w:val="0F4761" w:themeColor="accent1" w:themeShade="BF"/>
    </w:rPr>
  </w:style>
  <w:style w:type="character" w:styleId="a9">
    <w:name w:val="Intense Reference"/>
    <w:basedOn w:val="a0"/>
    <w:uiPriority w:val="32"/>
    <w:qFormat/>
    <w:rsid w:val="001163A3"/>
    <w:rPr>
      <w:b/>
      <w:bCs/>
      <w:smallCaps/>
      <w:color w:val="0F4761" w:themeColor="accent1" w:themeShade="BF"/>
      <w:spacing w:val="5"/>
    </w:rPr>
  </w:style>
  <w:style w:type="paragraph" w:styleId="aa">
    <w:name w:val="footnote text"/>
    <w:basedOn w:val="a"/>
    <w:link w:val="Char3"/>
    <w:uiPriority w:val="99"/>
    <w:semiHidden/>
    <w:unhideWhenUsed/>
    <w:rsid w:val="00D60ECA"/>
    <w:pPr>
      <w:spacing w:after="0" w:line="240" w:lineRule="auto"/>
    </w:pPr>
    <w:rPr>
      <w:sz w:val="20"/>
      <w:szCs w:val="20"/>
    </w:rPr>
  </w:style>
  <w:style w:type="character" w:customStyle="1" w:styleId="Char3">
    <w:name w:val="Κείμενο υποσημείωσης Char"/>
    <w:basedOn w:val="a0"/>
    <w:link w:val="aa"/>
    <w:uiPriority w:val="99"/>
    <w:semiHidden/>
    <w:rsid w:val="00D60ECA"/>
    <w:rPr>
      <w:sz w:val="20"/>
      <w:szCs w:val="20"/>
    </w:rPr>
  </w:style>
  <w:style w:type="character" w:styleId="ab">
    <w:name w:val="footnote reference"/>
    <w:basedOn w:val="a0"/>
    <w:uiPriority w:val="99"/>
    <w:semiHidden/>
    <w:unhideWhenUsed/>
    <w:rsid w:val="00D60ECA"/>
    <w:rPr>
      <w:vertAlign w:val="superscript"/>
    </w:rPr>
  </w:style>
  <w:style w:type="paragraph" w:styleId="ac">
    <w:name w:val="Bibliography"/>
    <w:basedOn w:val="a"/>
    <w:next w:val="a"/>
    <w:autoRedefine/>
    <w:uiPriority w:val="37"/>
    <w:unhideWhenUsed/>
    <w:rsid w:val="00444B22"/>
    <w:pPr>
      <w:tabs>
        <w:tab w:val="left" w:pos="540"/>
      </w:tabs>
      <w:spacing w:after="0" w:line="240" w:lineRule="auto"/>
      <w:ind w:left="547" w:hanging="547"/>
      <w:jc w:val="both"/>
    </w:pPr>
  </w:style>
  <w:style w:type="character" w:styleId="-">
    <w:name w:val="Hyperlink"/>
    <w:basedOn w:val="a0"/>
    <w:uiPriority w:val="99"/>
    <w:unhideWhenUsed/>
    <w:rsid w:val="001F3659"/>
    <w:rPr>
      <w:color w:val="467886" w:themeColor="hyperlink"/>
      <w:u w:val="single"/>
    </w:rPr>
  </w:style>
  <w:style w:type="character" w:styleId="ad">
    <w:name w:val="Unresolved Mention"/>
    <w:basedOn w:val="a0"/>
    <w:uiPriority w:val="99"/>
    <w:semiHidden/>
    <w:unhideWhenUsed/>
    <w:rsid w:val="001F3659"/>
    <w:rPr>
      <w:color w:val="605E5C"/>
      <w:shd w:val="clear" w:color="auto" w:fill="E1DFDD"/>
    </w:rPr>
  </w:style>
  <w:style w:type="paragraph" w:styleId="ae">
    <w:name w:val="header"/>
    <w:basedOn w:val="a"/>
    <w:link w:val="Char4"/>
    <w:uiPriority w:val="99"/>
    <w:unhideWhenUsed/>
    <w:rsid w:val="00307211"/>
    <w:pPr>
      <w:tabs>
        <w:tab w:val="center" w:pos="4320"/>
        <w:tab w:val="right" w:pos="8640"/>
      </w:tabs>
      <w:spacing w:after="0" w:line="240" w:lineRule="auto"/>
    </w:pPr>
  </w:style>
  <w:style w:type="character" w:customStyle="1" w:styleId="Char4">
    <w:name w:val="Κεφαλίδα Char"/>
    <w:basedOn w:val="a0"/>
    <w:link w:val="ae"/>
    <w:uiPriority w:val="99"/>
    <w:rsid w:val="00307211"/>
  </w:style>
  <w:style w:type="paragraph" w:styleId="af">
    <w:name w:val="footer"/>
    <w:basedOn w:val="a"/>
    <w:link w:val="Char5"/>
    <w:uiPriority w:val="99"/>
    <w:unhideWhenUsed/>
    <w:rsid w:val="00307211"/>
    <w:pPr>
      <w:tabs>
        <w:tab w:val="center" w:pos="4320"/>
        <w:tab w:val="right" w:pos="8640"/>
      </w:tabs>
      <w:spacing w:after="0" w:line="240" w:lineRule="auto"/>
    </w:pPr>
  </w:style>
  <w:style w:type="character" w:customStyle="1" w:styleId="Char5">
    <w:name w:val="Υποσέλιδο Char"/>
    <w:basedOn w:val="a0"/>
    <w:link w:val="af"/>
    <w:uiPriority w:val="99"/>
    <w:rsid w:val="00307211"/>
  </w:style>
  <w:style w:type="paragraph" w:styleId="af0">
    <w:name w:val="TOC Heading"/>
    <w:basedOn w:val="10"/>
    <w:next w:val="a"/>
    <w:uiPriority w:val="39"/>
    <w:unhideWhenUsed/>
    <w:qFormat/>
    <w:rsid w:val="00321FB2"/>
    <w:pPr>
      <w:numPr>
        <w:numId w:val="0"/>
      </w:numPr>
      <w:spacing w:before="240" w:after="0" w:line="259" w:lineRule="auto"/>
      <w:outlineLvl w:val="9"/>
    </w:pPr>
    <w:rPr>
      <w:kern w:val="0"/>
      <w:sz w:val="32"/>
      <w:szCs w:val="32"/>
      <w14:ligatures w14:val="none"/>
    </w:rPr>
  </w:style>
  <w:style w:type="numbering" w:customStyle="1" w:styleId="1">
    <w:name w:val="Στυλ1"/>
    <w:uiPriority w:val="99"/>
    <w:rsid w:val="0005714F"/>
    <w:pPr>
      <w:numPr>
        <w:numId w:val="5"/>
      </w:numPr>
    </w:pPr>
  </w:style>
  <w:style w:type="paragraph" w:customStyle="1" w:styleId="11">
    <w:name w:val="στυλ1"/>
    <w:basedOn w:val="10"/>
    <w:link w:val="1Char0"/>
    <w:qFormat/>
    <w:rsid w:val="0005714F"/>
    <w:rPr>
      <w:rFonts w:ascii="Times New Roman" w:hAnsi="Times New Roman"/>
      <w:color w:val="auto"/>
    </w:rPr>
  </w:style>
  <w:style w:type="character" w:customStyle="1" w:styleId="1Char0">
    <w:name w:val="στυλ1 Char"/>
    <w:basedOn w:val="1Char"/>
    <w:link w:val="11"/>
    <w:rsid w:val="0005714F"/>
    <w:rPr>
      <w:rFonts w:ascii="Times New Roman" w:eastAsiaTheme="majorEastAsia" w:hAnsi="Times New Roman" w:cstheme="majorBidi"/>
      <w:color w:val="0F4761" w:themeColor="accent1" w:themeShade="BF"/>
      <w:sz w:val="40"/>
      <w:szCs w:val="40"/>
    </w:rPr>
  </w:style>
  <w:style w:type="paragraph" w:customStyle="1" w:styleId="20">
    <w:name w:val="Στυλ2"/>
    <w:basedOn w:val="2"/>
    <w:link w:val="2Char0"/>
    <w:qFormat/>
    <w:rsid w:val="00275125"/>
    <w:rPr>
      <w:rFonts w:ascii="Times New Roman" w:hAnsi="Times New Roman"/>
      <w:color w:val="auto"/>
    </w:rPr>
  </w:style>
  <w:style w:type="character" w:customStyle="1" w:styleId="2Char0">
    <w:name w:val="Στυλ2 Char"/>
    <w:basedOn w:val="2Char"/>
    <w:link w:val="20"/>
    <w:rsid w:val="00275125"/>
    <w:rPr>
      <w:rFonts w:ascii="Times New Roman" w:eastAsiaTheme="majorEastAsia" w:hAnsi="Times New Roman" w:cstheme="majorBidi"/>
      <w:color w:val="0F4761" w:themeColor="accent1" w:themeShade="BF"/>
      <w:sz w:val="32"/>
      <w:szCs w:val="32"/>
    </w:rPr>
  </w:style>
  <w:style w:type="paragraph" w:customStyle="1" w:styleId="30">
    <w:name w:val="Στυλ3"/>
    <w:basedOn w:val="3"/>
    <w:link w:val="3Char0"/>
    <w:qFormat/>
    <w:rsid w:val="00DA56ED"/>
    <w:rPr>
      <w:color w:val="auto"/>
    </w:rPr>
  </w:style>
  <w:style w:type="character" w:customStyle="1" w:styleId="3Char0">
    <w:name w:val="Στυλ3 Char"/>
    <w:basedOn w:val="3Char"/>
    <w:link w:val="30"/>
    <w:rsid w:val="00DA56ED"/>
    <w:rPr>
      <w:rFonts w:ascii="Times New Roman" w:eastAsiaTheme="majorEastAsia" w:hAnsi="Times New Roman" w:cstheme="majorBidi"/>
      <w:color w:val="0F4761" w:themeColor="accent1" w:themeShade="BF"/>
      <w:sz w:val="28"/>
      <w:szCs w:val="28"/>
    </w:rPr>
  </w:style>
  <w:style w:type="paragraph" w:styleId="21">
    <w:name w:val="toc 2"/>
    <w:basedOn w:val="a"/>
    <w:next w:val="a"/>
    <w:autoRedefine/>
    <w:uiPriority w:val="39"/>
    <w:unhideWhenUsed/>
    <w:rsid w:val="000558AB"/>
    <w:pPr>
      <w:spacing w:after="100"/>
      <w:ind w:left="240"/>
    </w:pPr>
  </w:style>
  <w:style w:type="paragraph" w:styleId="31">
    <w:name w:val="toc 3"/>
    <w:basedOn w:val="a"/>
    <w:next w:val="a"/>
    <w:autoRedefine/>
    <w:uiPriority w:val="39"/>
    <w:unhideWhenUsed/>
    <w:rsid w:val="000558AB"/>
    <w:pPr>
      <w:spacing w:after="100"/>
      <w:ind w:left="480"/>
    </w:pPr>
  </w:style>
  <w:style w:type="paragraph" w:styleId="12">
    <w:name w:val="toc 1"/>
    <w:basedOn w:val="a"/>
    <w:next w:val="a"/>
    <w:autoRedefine/>
    <w:uiPriority w:val="39"/>
    <w:unhideWhenUsed/>
    <w:rsid w:val="008F5110"/>
    <w:pPr>
      <w:spacing w:after="100"/>
    </w:pPr>
  </w:style>
  <w:style w:type="character" w:styleId="af1">
    <w:name w:val="Placeholder Text"/>
    <w:basedOn w:val="a0"/>
    <w:uiPriority w:val="99"/>
    <w:semiHidden/>
    <w:rsid w:val="00292AC9"/>
    <w:rPr>
      <w:color w:val="666666"/>
    </w:rPr>
  </w:style>
  <w:style w:type="paragraph" w:styleId="Web">
    <w:name w:val="Normal (Web)"/>
    <w:basedOn w:val="a"/>
    <w:uiPriority w:val="99"/>
    <w:semiHidden/>
    <w:unhideWhenUsed/>
    <w:rsid w:val="00D43096"/>
    <w:rPr>
      <w:rFonts w:cs="Times New Roman"/>
    </w:rPr>
  </w:style>
  <w:style w:type="paragraph" w:customStyle="1" w:styleId="40">
    <w:name w:val="Στυλ4"/>
    <w:basedOn w:val="a"/>
    <w:link w:val="4Char0"/>
    <w:qFormat/>
    <w:rsid w:val="005377E6"/>
  </w:style>
  <w:style w:type="character" w:customStyle="1" w:styleId="4Char0">
    <w:name w:val="Στυλ4 Char"/>
    <w:basedOn w:val="a0"/>
    <w:link w:val="40"/>
    <w:rsid w:val="005377E6"/>
    <w:rPr>
      <w:rFonts w:ascii="Times New Roman" w:hAnsi="Times New Roman"/>
    </w:rPr>
  </w:style>
  <w:style w:type="paragraph" w:customStyle="1" w:styleId="11114">
    <w:name w:val="1.1.1.1 Στυλ4"/>
    <w:basedOn w:val="40"/>
    <w:link w:val="11114Char"/>
    <w:rsid w:val="005377E6"/>
  </w:style>
  <w:style w:type="character" w:customStyle="1" w:styleId="11114Char">
    <w:name w:val="1.1.1.1 Στυλ4 Char"/>
    <w:basedOn w:val="4Char0"/>
    <w:link w:val="11114"/>
    <w:rsid w:val="005377E6"/>
    <w:rPr>
      <w:rFonts w:ascii="Times New Roman" w:hAnsi="Times New Roman"/>
    </w:rPr>
  </w:style>
  <w:style w:type="paragraph" w:styleId="41">
    <w:name w:val="toc 4"/>
    <w:basedOn w:val="a"/>
    <w:next w:val="a"/>
    <w:autoRedefine/>
    <w:uiPriority w:val="39"/>
    <w:unhideWhenUsed/>
    <w:rsid w:val="00F42588"/>
    <w:pPr>
      <w:spacing w:after="100"/>
      <w:ind w:left="720"/>
    </w:pPr>
  </w:style>
  <w:style w:type="paragraph" w:styleId="af2">
    <w:name w:val="caption"/>
    <w:basedOn w:val="a"/>
    <w:next w:val="a"/>
    <w:uiPriority w:val="35"/>
    <w:unhideWhenUsed/>
    <w:qFormat/>
    <w:rsid w:val="00337977"/>
    <w:pPr>
      <w:spacing w:after="200" w:line="240" w:lineRule="auto"/>
    </w:pPr>
    <w:rPr>
      <w:i/>
      <w:iCs/>
      <w:color w:val="0E2841" w:themeColor="text2"/>
      <w:sz w:val="18"/>
      <w:szCs w:val="18"/>
    </w:rPr>
  </w:style>
  <w:style w:type="paragraph" w:styleId="af3">
    <w:name w:val="table of figures"/>
    <w:basedOn w:val="a"/>
    <w:next w:val="a"/>
    <w:uiPriority w:val="99"/>
    <w:unhideWhenUsed/>
    <w:rsid w:val="003C33E6"/>
    <w:pPr>
      <w:spacing w:after="0"/>
    </w:pPr>
  </w:style>
  <w:style w:type="paragraph" w:styleId="50">
    <w:name w:val="toc 5"/>
    <w:basedOn w:val="a"/>
    <w:next w:val="a"/>
    <w:autoRedefine/>
    <w:uiPriority w:val="39"/>
    <w:unhideWhenUsed/>
    <w:rsid w:val="0028299A"/>
    <w:pPr>
      <w:spacing w:after="100"/>
      <w:ind w:left="960"/>
    </w:pPr>
    <w:rPr>
      <w:rFonts w:asciiTheme="minorHAnsi" w:eastAsiaTheme="minorEastAsia" w:hAnsiTheme="minorHAnsi"/>
    </w:rPr>
  </w:style>
  <w:style w:type="paragraph" w:styleId="60">
    <w:name w:val="toc 6"/>
    <w:basedOn w:val="a"/>
    <w:next w:val="a"/>
    <w:autoRedefine/>
    <w:uiPriority w:val="39"/>
    <w:unhideWhenUsed/>
    <w:rsid w:val="0028299A"/>
    <w:pPr>
      <w:spacing w:after="100"/>
      <w:ind w:left="1200"/>
    </w:pPr>
    <w:rPr>
      <w:rFonts w:asciiTheme="minorHAnsi" w:eastAsiaTheme="minorEastAsia" w:hAnsiTheme="minorHAnsi"/>
    </w:rPr>
  </w:style>
  <w:style w:type="paragraph" w:styleId="70">
    <w:name w:val="toc 7"/>
    <w:basedOn w:val="a"/>
    <w:next w:val="a"/>
    <w:autoRedefine/>
    <w:uiPriority w:val="39"/>
    <w:unhideWhenUsed/>
    <w:rsid w:val="0028299A"/>
    <w:pPr>
      <w:spacing w:after="100"/>
      <w:ind w:left="1440"/>
    </w:pPr>
    <w:rPr>
      <w:rFonts w:asciiTheme="minorHAnsi" w:eastAsiaTheme="minorEastAsia" w:hAnsiTheme="minorHAnsi"/>
    </w:rPr>
  </w:style>
  <w:style w:type="paragraph" w:styleId="80">
    <w:name w:val="toc 8"/>
    <w:basedOn w:val="a"/>
    <w:next w:val="a"/>
    <w:autoRedefine/>
    <w:uiPriority w:val="39"/>
    <w:unhideWhenUsed/>
    <w:rsid w:val="0028299A"/>
    <w:pPr>
      <w:spacing w:after="100"/>
      <w:ind w:left="1680"/>
    </w:pPr>
    <w:rPr>
      <w:rFonts w:asciiTheme="minorHAnsi" w:eastAsiaTheme="minorEastAsia" w:hAnsiTheme="minorHAnsi"/>
    </w:rPr>
  </w:style>
  <w:style w:type="paragraph" w:styleId="90">
    <w:name w:val="toc 9"/>
    <w:basedOn w:val="a"/>
    <w:next w:val="a"/>
    <w:autoRedefine/>
    <w:uiPriority w:val="39"/>
    <w:unhideWhenUsed/>
    <w:rsid w:val="0028299A"/>
    <w:pPr>
      <w:spacing w:after="100"/>
      <w:ind w:left="1920"/>
    </w:pPr>
    <w:rPr>
      <w:rFonts w:asciiTheme="minorHAnsi" w:eastAsiaTheme="minorEastAsia"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4.xml"/><Relationship Id="rId18" Type="http://schemas.openxmlformats.org/officeDocument/2006/relationships/image" Target="media/image2.jpeg"/><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image" Target="media/image9.jpe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image" Target="media/image4.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image" Target="media/image8.jpeg"/><Relationship Id="rId32"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image" Target="media/image7.jpeg"/><Relationship Id="rId28" Type="http://schemas.openxmlformats.org/officeDocument/2006/relationships/image" Target="media/image12.png"/><Relationship Id="rId10" Type="http://schemas.openxmlformats.org/officeDocument/2006/relationships/chart" Target="charts/chart1.xml"/><Relationship Id="rId19" Type="http://schemas.openxmlformats.org/officeDocument/2006/relationships/image" Target="media/image3.jpg"/><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5.xm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image" Target="media/image14.png"/><Relationship Id="rId35" Type="http://schemas.openxmlformats.org/officeDocument/2006/relationships/theme" Target="theme/theme1.xm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71288d684ac2f915/&#904;&#947;&#947;&#961;&#945;&#966;&#945;/Alternative%20fuels_prices%20compariso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71288d684ac2f915/&#904;&#947;&#947;&#961;&#945;&#966;&#945;/Alternative%20fuels_prices%20comparison.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71288d684ac2f915/&#904;&#947;&#947;&#961;&#945;&#966;&#945;/Alternative%20fuels_prices%20comparison.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71288d684ac2f915/&#904;&#947;&#947;&#961;&#945;&#966;&#945;/Alternative%20fuels_prices%20comparison.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d.docs.live.net/71288d684ac2f915/&#904;&#947;&#947;&#961;&#945;&#966;&#945;/Alternative%20fuels_prices%20comparison.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d.docs.live.net/71288d684ac2f915/&#904;&#947;&#947;&#961;&#945;&#966;&#945;/Alternative%20fuels_prices%20comparison.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d.docs.live.net/71288d684ac2f915/&#904;&#947;&#947;&#961;&#945;&#966;&#945;/Alternative%20fuels_prices%20comparison.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d.docs.live.net/71288d684ac2f915/&#904;&#947;&#947;&#961;&#945;&#966;&#945;/Alternative%20fuels_prices%20comparison.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ln>
                  <a:solidFill>
                    <a:schemeClr val="tx1"/>
                  </a:solidFill>
                </a:ln>
                <a:solidFill>
                  <a:schemeClr val="tx1"/>
                </a:solidFill>
                <a:latin typeface="+mn-lt"/>
                <a:ea typeface="+mn-ea"/>
                <a:cs typeface="+mn-cs"/>
              </a:defRPr>
            </a:pPr>
            <a:r>
              <a:rPr lang="el-GR">
                <a:ln>
                  <a:noFill/>
                </a:ln>
                <a:latin typeface="Times New Roman" panose="02020603050405020304" pitchFamily="18" charset="0"/>
                <a:cs typeface="Times New Roman" panose="02020603050405020304" pitchFamily="18" charset="0"/>
              </a:rPr>
              <a:t>Περιοχή Άμστερνταμ–Ρότερνταμ–Αμβέρσας</a:t>
            </a:r>
          </a:p>
        </c:rich>
      </c:tx>
      <c:layout>
        <c:manualLayout>
          <c:xMode val="edge"/>
          <c:yMode val="edge"/>
          <c:x val="0.19520974002455982"/>
          <c:y val="5.0931148357458399E-3"/>
        </c:manualLayout>
      </c:layout>
      <c:overlay val="0"/>
      <c:spPr>
        <a:noFill/>
        <a:ln>
          <a:noFill/>
        </a:ln>
        <a:effectLst/>
      </c:spPr>
      <c:txPr>
        <a:bodyPr rot="0" spcFirstLastPara="1" vertOverflow="ellipsis" vert="horz" wrap="square" anchor="ctr" anchorCtr="1"/>
        <a:lstStyle/>
        <a:p>
          <a:pPr>
            <a:defRPr sz="1400" b="0" i="0" u="none" strike="noStrike" kern="1200" spc="0" baseline="0">
              <a:ln>
                <a:solidFill>
                  <a:schemeClr val="tx1"/>
                </a:solidFill>
              </a:ln>
              <a:solidFill>
                <a:schemeClr val="tx1"/>
              </a:solidFill>
              <a:latin typeface="+mn-lt"/>
              <a:ea typeface="+mn-ea"/>
              <a:cs typeface="+mn-cs"/>
            </a:defRPr>
          </a:pPr>
          <a:endParaRPr lang="el-GR"/>
        </a:p>
      </c:txPr>
    </c:title>
    <c:autoTitleDeleted val="0"/>
    <c:plotArea>
      <c:layout>
        <c:manualLayout>
          <c:layoutTarget val="inner"/>
          <c:xMode val="edge"/>
          <c:yMode val="edge"/>
          <c:x val="0.27840139310447432"/>
          <c:y val="0.14762822454604077"/>
          <c:w val="0.61090306295445129"/>
          <c:h val="0.67658559465417778"/>
        </c:manualLayout>
      </c:layout>
      <c:barChart>
        <c:barDir val="bar"/>
        <c:grouping val="clustered"/>
        <c:varyColors val="1"/>
        <c:ser>
          <c:idx val="0"/>
          <c:order val="0"/>
          <c:invertIfNegative val="0"/>
          <c:dPt>
            <c:idx val="0"/>
            <c:invertIfNegative val="0"/>
            <c:bubble3D val="0"/>
            <c:spPr>
              <a:solidFill>
                <a:srgbClr val="0070C0"/>
              </a:solidFill>
              <a:ln>
                <a:noFill/>
              </a:ln>
              <a:effectLst/>
            </c:spPr>
            <c:extLst>
              <c:ext xmlns:c16="http://schemas.microsoft.com/office/drawing/2014/chart" uri="{C3380CC4-5D6E-409C-BE32-E72D297353CC}">
                <c16:uniqueId val="{00000001-87CD-4831-8E47-BA87CCD35CAF}"/>
              </c:ext>
            </c:extLst>
          </c:dPt>
          <c:dPt>
            <c:idx val="1"/>
            <c:invertIfNegative val="0"/>
            <c:bubble3D val="0"/>
            <c:spPr>
              <a:solidFill>
                <a:srgbClr val="0070C0"/>
              </a:solidFill>
              <a:ln>
                <a:noFill/>
              </a:ln>
              <a:effectLst/>
            </c:spPr>
            <c:extLst>
              <c:ext xmlns:c16="http://schemas.microsoft.com/office/drawing/2014/chart" uri="{C3380CC4-5D6E-409C-BE32-E72D297353CC}">
                <c16:uniqueId val="{00000003-87CD-4831-8E47-BA87CCD35CAF}"/>
              </c:ext>
            </c:extLst>
          </c:dPt>
          <c:dPt>
            <c:idx val="2"/>
            <c:invertIfNegative val="0"/>
            <c:bubble3D val="0"/>
            <c:spPr>
              <a:solidFill>
                <a:srgbClr val="0070C0"/>
              </a:solidFill>
              <a:ln>
                <a:noFill/>
              </a:ln>
              <a:effectLst/>
            </c:spPr>
            <c:extLst>
              <c:ext xmlns:c16="http://schemas.microsoft.com/office/drawing/2014/chart" uri="{C3380CC4-5D6E-409C-BE32-E72D297353CC}">
                <c16:uniqueId val="{00000005-87CD-4831-8E47-BA87CCD35CAF}"/>
              </c:ext>
            </c:extLst>
          </c:dPt>
          <c:dPt>
            <c:idx val="3"/>
            <c:invertIfNegative val="0"/>
            <c:bubble3D val="0"/>
            <c:spPr>
              <a:solidFill>
                <a:schemeClr val="tx2">
                  <a:lumMod val="25000"/>
                  <a:lumOff val="75000"/>
                </a:schemeClr>
              </a:solidFill>
              <a:ln>
                <a:noFill/>
              </a:ln>
              <a:effectLst/>
            </c:spPr>
            <c:extLst>
              <c:ext xmlns:c16="http://schemas.microsoft.com/office/drawing/2014/chart" uri="{C3380CC4-5D6E-409C-BE32-E72D297353CC}">
                <c16:uniqueId val="{00000007-87CD-4831-8E47-BA87CCD35CAF}"/>
              </c:ext>
            </c:extLst>
          </c:dPt>
          <c:dPt>
            <c:idx val="4"/>
            <c:invertIfNegative val="0"/>
            <c:bubble3D val="0"/>
            <c:spPr>
              <a:solidFill>
                <a:schemeClr val="tx2">
                  <a:lumMod val="25000"/>
                  <a:lumOff val="75000"/>
                </a:schemeClr>
              </a:solidFill>
              <a:ln>
                <a:noFill/>
              </a:ln>
              <a:effectLst/>
            </c:spPr>
            <c:extLst>
              <c:ext xmlns:c16="http://schemas.microsoft.com/office/drawing/2014/chart" uri="{C3380CC4-5D6E-409C-BE32-E72D297353CC}">
                <c16:uniqueId val="{00000009-87CD-4831-8E47-BA87CCD35CAF}"/>
              </c:ext>
            </c:extLst>
          </c:dPt>
          <c:dPt>
            <c:idx val="5"/>
            <c:invertIfNegative val="0"/>
            <c:bubble3D val="0"/>
            <c:spPr>
              <a:solidFill>
                <a:schemeClr val="accent2"/>
              </a:solidFill>
              <a:ln>
                <a:noFill/>
              </a:ln>
              <a:effectLst/>
            </c:spPr>
            <c:extLst>
              <c:ext xmlns:c16="http://schemas.microsoft.com/office/drawing/2014/chart" uri="{C3380CC4-5D6E-409C-BE32-E72D297353CC}">
                <c16:uniqueId val="{0000000B-87CD-4831-8E47-BA87CCD35CAF}"/>
              </c:ext>
            </c:extLst>
          </c:dPt>
          <c:dPt>
            <c:idx val="6"/>
            <c:invertIfNegative val="0"/>
            <c:bubble3D val="0"/>
            <c:spPr>
              <a:solidFill>
                <a:schemeClr val="accent2"/>
              </a:solidFill>
              <a:ln>
                <a:noFill/>
              </a:ln>
              <a:effectLst/>
            </c:spPr>
            <c:extLst>
              <c:ext xmlns:c16="http://schemas.microsoft.com/office/drawing/2014/chart" uri="{C3380CC4-5D6E-409C-BE32-E72D297353CC}">
                <c16:uniqueId val="{0000000D-87CD-4831-8E47-BA87CCD35CAF}"/>
              </c:ext>
            </c:extLst>
          </c:dPt>
          <c:dPt>
            <c:idx val="7"/>
            <c:invertIfNegative val="0"/>
            <c:bubble3D val="0"/>
            <c:spPr>
              <a:solidFill>
                <a:schemeClr val="accent6">
                  <a:lumMod val="75000"/>
                </a:schemeClr>
              </a:solidFill>
              <a:ln>
                <a:noFill/>
              </a:ln>
              <a:effectLst/>
            </c:spPr>
            <c:extLst>
              <c:ext xmlns:c16="http://schemas.microsoft.com/office/drawing/2014/chart" uri="{C3380CC4-5D6E-409C-BE32-E72D297353CC}">
                <c16:uniqueId val="{0000000F-87CD-4831-8E47-BA87CCD35CAF}"/>
              </c:ext>
            </c:extLst>
          </c:dPt>
          <c:dPt>
            <c:idx val="8"/>
            <c:invertIfNegative val="0"/>
            <c:bubble3D val="0"/>
            <c:spPr>
              <a:solidFill>
                <a:schemeClr val="accent6">
                  <a:lumMod val="75000"/>
                </a:schemeClr>
              </a:solidFill>
              <a:ln>
                <a:noFill/>
              </a:ln>
              <a:effectLst/>
            </c:spPr>
            <c:extLst>
              <c:ext xmlns:c16="http://schemas.microsoft.com/office/drawing/2014/chart" uri="{C3380CC4-5D6E-409C-BE32-E72D297353CC}">
                <c16:uniqueId val="{00000011-87CD-4831-8E47-BA87CCD35CAF}"/>
              </c:ext>
            </c:extLst>
          </c:dPt>
          <c:dPt>
            <c:idx val="9"/>
            <c:invertIfNegative val="0"/>
            <c:bubble3D val="0"/>
            <c:spPr>
              <a:solidFill>
                <a:srgbClr val="002060"/>
              </a:solidFill>
              <a:ln>
                <a:noFill/>
              </a:ln>
              <a:effectLst/>
            </c:spPr>
            <c:extLst>
              <c:ext xmlns:c16="http://schemas.microsoft.com/office/drawing/2014/chart" uri="{C3380CC4-5D6E-409C-BE32-E72D297353CC}">
                <c16:uniqueId val="{00000013-87CD-4831-8E47-BA87CCD35CA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Φύλλο1!$B$2:$B$11</c:f>
              <c:strCache>
                <c:ptCount val="10"/>
                <c:pt idx="0">
                  <c:v>«γκρι» αμμωνία</c:v>
                </c:pt>
                <c:pt idx="1">
                  <c:v>«μπλε» αμμωνία</c:v>
                </c:pt>
                <c:pt idx="2">
                  <c:v>«πράσινη» αμμωνία</c:v>
                </c:pt>
                <c:pt idx="3">
                  <c:v>LNG</c:v>
                </c:pt>
                <c:pt idx="4">
                  <c:v>bio-LNG</c:v>
                </c:pt>
                <c:pt idx="5">
                  <c:v>βιομεθανόλη</c:v>
                </c:pt>
                <c:pt idx="6">
                  <c:v>μεθανόλη</c:v>
                </c:pt>
                <c:pt idx="7">
                  <c:v>Βιοντίζελ B30 (FAME)</c:v>
                </c:pt>
                <c:pt idx="8">
                  <c:v>Βιοντίζελ B30 (UCOME)</c:v>
                </c:pt>
                <c:pt idx="9">
                  <c:v>υδρογόνο</c:v>
                </c:pt>
              </c:strCache>
            </c:strRef>
          </c:cat>
          <c:val>
            <c:numRef>
              <c:f>Φύλλο1!$C$2:$C$11</c:f>
              <c:numCache>
                <c:formatCode>#,##0</c:formatCode>
                <c:ptCount val="10"/>
                <c:pt idx="0" formatCode="General">
                  <c:v>955</c:v>
                </c:pt>
                <c:pt idx="1">
                  <c:v>1637</c:v>
                </c:pt>
                <c:pt idx="2">
                  <c:v>1813</c:v>
                </c:pt>
                <c:pt idx="3" formatCode="General">
                  <c:v>221</c:v>
                </c:pt>
                <c:pt idx="4" formatCode="General">
                  <c:v>876</c:v>
                </c:pt>
                <c:pt idx="5">
                  <c:v>1464</c:v>
                </c:pt>
                <c:pt idx="6" formatCode="General">
                  <c:v>239</c:v>
                </c:pt>
                <c:pt idx="7" formatCode="General">
                  <c:v>382</c:v>
                </c:pt>
                <c:pt idx="8" formatCode="General">
                  <c:v>411</c:v>
                </c:pt>
                <c:pt idx="9">
                  <c:v>2585</c:v>
                </c:pt>
              </c:numCache>
            </c:numRef>
          </c:val>
          <c:extLst>
            <c:ext xmlns:c16="http://schemas.microsoft.com/office/drawing/2014/chart" uri="{C3380CC4-5D6E-409C-BE32-E72D297353CC}">
              <c16:uniqueId val="{00000014-87CD-4831-8E47-BA87CCD35CAF}"/>
            </c:ext>
          </c:extLst>
        </c:ser>
        <c:dLbls>
          <c:dLblPos val="outEnd"/>
          <c:showLegendKey val="0"/>
          <c:showVal val="1"/>
          <c:showCatName val="0"/>
          <c:showSerName val="0"/>
          <c:showPercent val="0"/>
          <c:showBubbleSize val="0"/>
        </c:dLbls>
        <c:gapWidth val="260"/>
        <c:overlap val="-14"/>
        <c:axId val="236791840"/>
        <c:axId val="236794720"/>
      </c:barChart>
      <c:catAx>
        <c:axId val="236791840"/>
        <c:scaling>
          <c:orientation val="minMax"/>
        </c:scaling>
        <c:delete val="0"/>
        <c:axPos val="l"/>
        <c:title>
          <c:tx>
            <c:rich>
              <a:bodyPr rot="-5400000" spcFirstLastPara="1" vertOverflow="ellipsis" vert="horz" wrap="square" anchor="ctr" anchorCtr="1"/>
              <a:lstStyle/>
              <a:p>
                <a:pPr>
                  <a:defRPr sz="1000" b="0" i="0" u="none" strike="noStrike" kern="1200" baseline="0">
                    <a:ln>
                      <a:noFill/>
                    </a:ln>
                    <a:solidFill>
                      <a:schemeClr val="tx1"/>
                    </a:solidFill>
                    <a:latin typeface="+mn-lt"/>
                    <a:ea typeface="+mn-ea"/>
                    <a:cs typeface="+mn-cs"/>
                  </a:defRPr>
                </a:pPr>
                <a:r>
                  <a:rPr lang="el-GR">
                    <a:ln>
                      <a:noFill/>
                    </a:ln>
                    <a:latin typeface="Times New Roman" panose="02020603050405020304" pitchFamily="18" charset="0"/>
                    <a:cs typeface="Times New Roman" panose="02020603050405020304" pitchFamily="18" charset="0"/>
                  </a:rPr>
                  <a:t>Εναλλακτικά καύσιμα</a:t>
                </a:r>
              </a:p>
            </c:rich>
          </c:tx>
          <c:layout>
            <c:manualLayout>
              <c:xMode val="edge"/>
              <c:yMode val="edge"/>
              <c:x val="1.4240522373727674E-2"/>
              <c:y val="0.40897854249027998"/>
            </c:manualLayout>
          </c:layout>
          <c:overlay val="0"/>
          <c:spPr>
            <a:noFill/>
            <a:ln>
              <a:noFill/>
            </a:ln>
            <a:effectLst/>
          </c:spPr>
          <c:txPr>
            <a:bodyPr rot="-5400000" spcFirstLastPara="1" vertOverflow="ellipsis" vert="horz" wrap="square" anchor="ctr" anchorCtr="1"/>
            <a:lstStyle/>
            <a:p>
              <a:pPr>
                <a:defRPr sz="1000" b="0" i="0" u="none" strike="noStrike" kern="1200" baseline="0">
                  <a:ln>
                    <a:noFill/>
                  </a:ln>
                  <a:solidFill>
                    <a:schemeClr val="tx1"/>
                  </a:solidFill>
                  <a:latin typeface="+mn-lt"/>
                  <a:ea typeface="+mn-ea"/>
                  <a:cs typeface="+mn-cs"/>
                </a:defRPr>
              </a:pPr>
              <a:endParaRPr lang="el-GR"/>
            </a:p>
          </c:txPr>
        </c:title>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endParaRPr lang="en-US"/>
          </a:p>
        </c:txPr>
        <c:crossAx val="236794720"/>
        <c:crosses val="autoZero"/>
        <c:auto val="1"/>
        <c:lblAlgn val="ctr"/>
        <c:lblOffset val="100"/>
        <c:noMultiLvlLbl val="0"/>
      </c:catAx>
      <c:valAx>
        <c:axId val="236794720"/>
        <c:scaling>
          <c:orientation val="minMax"/>
        </c:scaling>
        <c:delete val="0"/>
        <c:axPos val="b"/>
        <c:title>
          <c:tx>
            <c:rich>
              <a:bodyPr rot="0" spcFirstLastPara="1" vertOverflow="ellipsis" vert="horz" wrap="square" anchor="ctr" anchorCtr="1"/>
              <a:lstStyle/>
              <a:p>
                <a:pPr>
                  <a:defRPr sz="1000" b="0" i="0" u="none" strike="noStrike" kern="1200" baseline="0">
                    <a:ln>
                      <a:noFill/>
                    </a:ln>
                    <a:solidFill>
                      <a:schemeClr val="tx1"/>
                    </a:solidFill>
                    <a:latin typeface="+mn-lt"/>
                    <a:ea typeface="+mn-ea"/>
                    <a:cs typeface="+mn-cs"/>
                  </a:defRPr>
                </a:pPr>
                <a:r>
                  <a:rPr lang="el-GR">
                    <a:ln>
                      <a:noFill/>
                    </a:ln>
                    <a:latin typeface="Times New Roman" panose="02020603050405020304" pitchFamily="18" charset="0"/>
                    <a:cs typeface="Times New Roman" panose="02020603050405020304" pitchFamily="18" charset="0"/>
                  </a:rPr>
                  <a:t>Διαφορά τιμής έναντι VLSFO ($/t)</a:t>
                </a:r>
              </a:p>
            </c:rich>
          </c:tx>
          <c:layout>
            <c:manualLayout>
              <c:xMode val="edge"/>
              <c:yMode val="edge"/>
              <c:x val="0.39311603610524293"/>
              <c:y val="0.89381350671415039"/>
            </c:manualLayout>
          </c:layout>
          <c:overlay val="0"/>
          <c:spPr>
            <a:noFill/>
            <a:ln>
              <a:noFill/>
            </a:ln>
            <a:effectLst/>
          </c:spPr>
          <c:txPr>
            <a:bodyPr rot="0" spcFirstLastPara="1" vertOverflow="ellipsis" vert="horz" wrap="square" anchor="ctr" anchorCtr="1"/>
            <a:lstStyle/>
            <a:p>
              <a:pPr>
                <a:defRPr sz="1000" b="0" i="0" u="none" strike="noStrike" kern="1200" baseline="0">
                  <a:ln>
                    <a:noFill/>
                  </a:ln>
                  <a:solidFill>
                    <a:schemeClr val="tx1"/>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3679184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chemeClr val="tx1"/>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a:latin typeface="Times New Roman" panose="02020603050405020304" pitchFamily="18" charset="0"/>
                <a:cs typeface="Times New Roman" panose="02020603050405020304" pitchFamily="18" charset="0"/>
              </a:rPr>
              <a:t>Περιοχή Χιούστον</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lotArea>
      <c:layout>
        <c:manualLayout>
          <c:layoutTarget val="inner"/>
          <c:xMode val="edge"/>
          <c:yMode val="edge"/>
          <c:x val="0.24090013995952547"/>
          <c:y val="0.14935501540568299"/>
          <c:w val="0.68412903186639051"/>
          <c:h val="0.65258186421758813"/>
        </c:manualLayout>
      </c:layout>
      <c:barChart>
        <c:barDir val="bar"/>
        <c:grouping val="clustered"/>
        <c:varyColors val="1"/>
        <c:ser>
          <c:idx val="0"/>
          <c:order val="0"/>
          <c:invertIfNegative val="0"/>
          <c:dPt>
            <c:idx val="0"/>
            <c:invertIfNegative val="0"/>
            <c:bubble3D val="0"/>
            <c:spPr>
              <a:solidFill>
                <a:srgbClr val="0070C0"/>
              </a:solidFill>
              <a:ln>
                <a:noFill/>
              </a:ln>
              <a:effectLst/>
            </c:spPr>
            <c:extLst>
              <c:ext xmlns:c16="http://schemas.microsoft.com/office/drawing/2014/chart" uri="{C3380CC4-5D6E-409C-BE32-E72D297353CC}">
                <c16:uniqueId val="{00000001-2478-47C4-8B15-3E036F8F078F}"/>
              </c:ext>
            </c:extLst>
          </c:dPt>
          <c:dPt>
            <c:idx val="1"/>
            <c:invertIfNegative val="0"/>
            <c:bubble3D val="0"/>
            <c:spPr>
              <a:solidFill>
                <a:schemeClr val="tx2">
                  <a:lumMod val="25000"/>
                  <a:lumOff val="75000"/>
                </a:schemeClr>
              </a:solidFill>
              <a:ln>
                <a:noFill/>
              </a:ln>
              <a:effectLst/>
            </c:spPr>
            <c:extLst>
              <c:ext xmlns:c16="http://schemas.microsoft.com/office/drawing/2014/chart" uri="{C3380CC4-5D6E-409C-BE32-E72D297353CC}">
                <c16:uniqueId val="{00000003-2478-47C4-8B15-3E036F8F078F}"/>
              </c:ext>
            </c:extLst>
          </c:dPt>
          <c:dPt>
            <c:idx val="2"/>
            <c:invertIfNegative val="0"/>
            <c:bubble3D val="0"/>
            <c:spPr>
              <a:solidFill>
                <a:schemeClr val="accent2"/>
              </a:solidFill>
              <a:ln>
                <a:noFill/>
              </a:ln>
              <a:effectLst/>
            </c:spPr>
            <c:extLst>
              <c:ext xmlns:c16="http://schemas.microsoft.com/office/drawing/2014/chart" uri="{C3380CC4-5D6E-409C-BE32-E72D297353CC}">
                <c16:uniqueId val="{00000005-2478-47C4-8B15-3E036F8F078F}"/>
              </c:ext>
            </c:extLst>
          </c:dPt>
          <c:dPt>
            <c:idx val="3"/>
            <c:invertIfNegative val="0"/>
            <c:bubble3D val="0"/>
            <c:spPr>
              <a:solidFill>
                <a:schemeClr val="accent2"/>
              </a:solidFill>
              <a:ln>
                <a:noFill/>
              </a:ln>
              <a:effectLst/>
            </c:spPr>
            <c:extLst>
              <c:ext xmlns:c16="http://schemas.microsoft.com/office/drawing/2014/chart" uri="{C3380CC4-5D6E-409C-BE32-E72D297353CC}">
                <c16:uniqueId val="{00000007-2478-47C4-8B15-3E036F8F078F}"/>
              </c:ext>
            </c:extLst>
          </c:dPt>
          <c:dPt>
            <c:idx val="4"/>
            <c:invertIfNegative val="0"/>
            <c:bubble3D val="0"/>
            <c:spPr>
              <a:solidFill>
                <a:schemeClr val="accent6">
                  <a:lumMod val="75000"/>
                </a:schemeClr>
              </a:solidFill>
              <a:ln>
                <a:noFill/>
              </a:ln>
              <a:effectLst/>
            </c:spPr>
            <c:extLst>
              <c:ext xmlns:c16="http://schemas.microsoft.com/office/drawing/2014/chart" uri="{C3380CC4-5D6E-409C-BE32-E72D297353CC}">
                <c16:uniqueId val="{00000009-2478-47C4-8B15-3E036F8F078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Φύλλο1!$B$14:$B$18</c:f>
              <c:strCache>
                <c:ptCount val="5"/>
                <c:pt idx="0">
                  <c:v>«γκρι» αμμωνία</c:v>
                </c:pt>
                <c:pt idx="1">
                  <c:v>LNG</c:v>
                </c:pt>
                <c:pt idx="2">
                  <c:v>μεθανόλη</c:v>
                </c:pt>
                <c:pt idx="3">
                  <c:v>βιοκαύσιμο</c:v>
                </c:pt>
                <c:pt idx="4">
                  <c:v>Βιοντίζελ B30</c:v>
                </c:pt>
              </c:strCache>
            </c:strRef>
          </c:cat>
          <c:val>
            <c:numRef>
              <c:f>Φύλλο1!$C$14:$C$18</c:f>
              <c:numCache>
                <c:formatCode>General</c:formatCode>
                <c:ptCount val="5"/>
                <c:pt idx="0">
                  <c:v>761</c:v>
                </c:pt>
                <c:pt idx="1">
                  <c:v>17</c:v>
                </c:pt>
                <c:pt idx="2">
                  <c:v>157</c:v>
                </c:pt>
                <c:pt idx="3" formatCode="#,##0">
                  <c:v>1256</c:v>
                </c:pt>
                <c:pt idx="4">
                  <c:v>361</c:v>
                </c:pt>
              </c:numCache>
            </c:numRef>
          </c:val>
          <c:extLst>
            <c:ext xmlns:c16="http://schemas.microsoft.com/office/drawing/2014/chart" uri="{C3380CC4-5D6E-409C-BE32-E72D297353CC}">
              <c16:uniqueId val="{0000000A-2478-47C4-8B15-3E036F8F078F}"/>
            </c:ext>
          </c:extLst>
        </c:ser>
        <c:dLbls>
          <c:dLblPos val="outEnd"/>
          <c:showLegendKey val="0"/>
          <c:showVal val="1"/>
          <c:showCatName val="0"/>
          <c:showSerName val="0"/>
          <c:showPercent val="0"/>
          <c:showBubbleSize val="0"/>
        </c:dLbls>
        <c:gapWidth val="182"/>
        <c:axId val="2040889472"/>
        <c:axId val="2040890432"/>
      </c:barChart>
      <c:catAx>
        <c:axId val="204088947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l-GR">
                    <a:latin typeface="Times New Roman" panose="02020603050405020304" pitchFamily="18" charset="0"/>
                    <a:cs typeface="Times New Roman" panose="02020603050405020304" pitchFamily="18" charset="0"/>
                  </a:rPr>
                  <a:t>Εναλλακτικά καύσιμα</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l-GR"/>
            </a:p>
          </c:txPr>
        </c:title>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40890432"/>
        <c:crosses val="autoZero"/>
        <c:auto val="1"/>
        <c:lblAlgn val="ctr"/>
        <c:lblOffset val="100"/>
        <c:noMultiLvlLbl val="0"/>
      </c:catAx>
      <c:valAx>
        <c:axId val="2040890432"/>
        <c:scaling>
          <c:orientation val="minMax"/>
          <c:max val="300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l-GR" sz="1000" b="0" i="0" u="none" strike="noStrike" baseline="0">
                    <a:latin typeface="Times New Roman" panose="02020603050405020304" pitchFamily="18" charset="0"/>
                    <a:cs typeface="Times New Roman" panose="02020603050405020304" pitchFamily="18" charset="0"/>
                  </a:rPr>
                  <a:t>Διαφορά τιμής έναντι VLSFO ($/t)</a:t>
                </a:r>
                <a:endParaRPr lang="el-GR">
                  <a:latin typeface="Times New Roman" panose="02020603050405020304" pitchFamily="18" charset="0"/>
                  <a:cs typeface="Times New Roman" panose="02020603050405020304" pitchFamily="18" charset="0"/>
                </a:endParaRPr>
              </a:p>
            </c:rich>
          </c:tx>
          <c:layout>
            <c:manualLayout>
              <c:xMode val="edge"/>
              <c:yMode val="edge"/>
              <c:x val="0.39455111842034724"/>
              <c:y val="0.9013175582577848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408894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l-GR">
                <a:latin typeface="Times New Roman" panose="02020603050405020304" pitchFamily="18" charset="0"/>
                <a:cs typeface="Times New Roman" panose="02020603050405020304" pitchFamily="18" charset="0"/>
              </a:rPr>
              <a:t>Περιοχή Σιγκαπούρης</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l-GR"/>
        </a:p>
      </c:txPr>
    </c:title>
    <c:autoTitleDeleted val="0"/>
    <c:plotArea>
      <c:layout>
        <c:manualLayout>
          <c:layoutTarget val="inner"/>
          <c:xMode val="edge"/>
          <c:yMode val="edge"/>
          <c:x val="0.26179172456384131"/>
          <c:y val="0.14442888577715543"/>
          <c:w val="0.69939715980542649"/>
          <c:h val="0.64028144211519467"/>
        </c:manualLayout>
      </c:layout>
      <c:barChart>
        <c:barDir val="bar"/>
        <c:grouping val="clustered"/>
        <c:varyColors val="1"/>
        <c:ser>
          <c:idx val="0"/>
          <c:order val="0"/>
          <c:invertIfNegative val="0"/>
          <c:dPt>
            <c:idx val="0"/>
            <c:invertIfNegative val="0"/>
            <c:bubble3D val="0"/>
            <c:spPr>
              <a:solidFill>
                <a:srgbClr val="0070C0"/>
              </a:solidFill>
              <a:ln>
                <a:noFill/>
              </a:ln>
              <a:effectLst/>
            </c:spPr>
            <c:extLst>
              <c:ext xmlns:c16="http://schemas.microsoft.com/office/drawing/2014/chart" uri="{C3380CC4-5D6E-409C-BE32-E72D297353CC}">
                <c16:uniqueId val="{00000001-CA56-4A89-AF8E-8760BCC6373C}"/>
              </c:ext>
            </c:extLst>
          </c:dPt>
          <c:dPt>
            <c:idx val="1"/>
            <c:invertIfNegative val="0"/>
            <c:bubble3D val="0"/>
            <c:spPr>
              <a:solidFill>
                <a:srgbClr val="0070C0"/>
              </a:solidFill>
              <a:ln>
                <a:noFill/>
              </a:ln>
              <a:effectLst/>
            </c:spPr>
            <c:extLst>
              <c:ext xmlns:c16="http://schemas.microsoft.com/office/drawing/2014/chart" uri="{C3380CC4-5D6E-409C-BE32-E72D297353CC}">
                <c16:uniqueId val="{00000003-CA56-4A89-AF8E-8760BCC6373C}"/>
              </c:ext>
            </c:extLst>
          </c:dPt>
          <c:dPt>
            <c:idx val="2"/>
            <c:invertIfNegative val="0"/>
            <c:bubble3D val="0"/>
            <c:spPr>
              <a:solidFill>
                <a:schemeClr val="tx2">
                  <a:lumMod val="25000"/>
                  <a:lumOff val="75000"/>
                </a:schemeClr>
              </a:solidFill>
              <a:ln>
                <a:noFill/>
              </a:ln>
              <a:effectLst/>
            </c:spPr>
            <c:extLst>
              <c:ext xmlns:c16="http://schemas.microsoft.com/office/drawing/2014/chart" uri="{C3380CC4-5D6E-409C-BE32-E72D297353CC}">
                <c16:uniqueId val="{00000005-CA56-4A89-AF8E-8760BCC6373C}"/>
              </c:ext>
            </c:extLst>
          </c:dPt>
          <c:dPt>
            <c:idx val="3"/>
            <c:invertIfNegative val="0"/>
            <c:bubble3D val="0"/>
            <c:spPr>
              <a:solidFill>
                <a:schemeClr val="accent2"/>
              </a:solidFill>
              <a:ln>
                <a:noFill/>
              </a:ln>
              <a:effectLst/>
            </c:spPr>
            <c:extLst>
              <c:ext xmlns:c16="http://schemas.microsoft.com/office/drawing/2014/chart" uri="{C3380CC4-5D6E-409C-BE32-E72D297353CC}">
                <c16:uniqueId val="{00000007-CA56-4A89-AF8E-8760BCC6373C}"/>
              </c:ext>
            </c:extLst>
          </c:dPt>
          <c:dPt>
            <c:idx val="4"/>
            <c:invertIfNegative val="0"/>
            <c:bubble3D val="0"/>
            <c:spPr>
              <a:solidFill>
                <a:schemeClr val="accent6">
                  <a:lumMod val="75000"/>
                </a:schemeClr>
              </a:solidFill>
              <a:ln>
                <a:noFill/>
              </a:ln>
              <a:effectLst/>
            </c:spPr>
            <c:extLst>
              <c:ext xmlns:c16="http://schemas.microsoft.com/office/drawing/2014/chart" uri="{C3380CC4-5D6E-409C-BE32-E72D297353CC}">
                <c16:uniqueId val="{00000009-CA56-4A89-AF8E-8760BCC6373C}"/>
              </c:ext>
            </c:extLst>
          </c:dPt>
          <c:dPt>
            <c:idx val="5"/>
            <c:invertIfNegative val="0"/>
            <c:bubble3D val="0"/>
            <c:spPr>
              <a:solidFill>
                <a:srgbClr val="002060"/>
              </a:solidFill>
              <a:ln>
                <a:noFill/>
              </a:ln>
              <a:effectLst/>
            </c:spPr>
            <c:extLst>
              <c:ext xmlns:c16="http://schemas.microsoft.com/office/drawing/2014/chart" uri="{C3380CC4-5D6E-409C-BE32-E72D297353CC}">
                <c16:uniqueId val="{0000000B-CA56-4A89-AF8E-8760BCC6373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Φύλλο1!$B$21:$B$26</c:f>
              <c:strCache>
                <c:ptCount val="6"/>
                <c:pt idx="0">
                  <c:v>«γκρι» αμμωνία</c:v>
                </c:pt>
                <c:pt idx="1">
                  <c:v>«πράσινη» αμμωνία</c:v>
                </c:pt>
                <c:pt idx="2">
                  <c:v>LNG</c:v>
                </c:pt>
                <c:pt idx="3">
                  <c:v>μεθανόλη</c:v>
                </c:pt>
                <c:pt idx="4">
                  <c:v>Βιοντίζελ B24</c:v>
                </c:pt>
                <c:pt idx="5">
                  <c:v>υδρογόνο</c:v>
                </c:pt>
              </c:strCache>
            </c:strRef>
          </c:cat>
          <c:val>
            <c:numRef>
              <c:f>Φύλλο1!$C$21:$C$26</c:f>
              <c:numCache>
                <c:formatCode>#,##0</c:formatCode>
                <c:ptCount val="6"/>
                <c:pt idx="0" formatCode="General">
                  <c:v>770</c:v>
                </c:pt>
                <c:pt idx="1">
                  <c:v>2291</c:v>
                </c:pt>
                <c:pt idx="2" formatCode="General">
                  <c:v>6</c:v>
                </c:pt>
                <c:pt idx="3" formatCode="General">
                  <c:v>249</c:v>
                </c:pt>
                <c:pt idx="4" formatCode="General">
                  <c:v>220</c:v>
                </c:pt>
                <c:pt idx="5">
                  <c:v>1451</c:v>
                </c:pt>
              </c:numCache>
            </c:numRef>
          </c:val>
          <c:extLst>
            <c:ext xmlns:c16="http://schemas.microsoft.com/office/drawing/2014/chart" uri="{C3380CC4-5D6E-409C-BE32-E72D297353CC}">
              <c16:uniqueId val="{0000000C-CA56-4A89-AF8E-8760BCC6373C}"/>
            </c:ext>
          </c:extLst>
        </c:ser>
        <c:dLbls>
          <c:dLblPos val="outEnd"/>
          <c:showLegendKey val="0"/>
          <c:showVal val="1"/>
          <c:showCatName val="0"/>
          <c:showSerName val="0"/>
          <c:showPercent val="0"/>
          <c:showBubbleSize val="0"/>
        </c:dLbls>
        <c:gapWidth val="182"/>
        <c:axId val="817595680"/>
        <c:axId val="817596160"/>
      </c:barChart>
      <c:catAx>
        <c:axId val="81759568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l-GR">
                    <a:latin typeface="Times New Roman" panose="02020603050405020304" pitchFamily="18" charset="0"/>
                    <a:cs typeface="Times New Roman" panose="02020603050405020304" pitchFamily="18" charset="0"/>
                  </a:rPr>
                  <a:t>Εναλλακτικά καύσιμα</a:t>
                </a:r>
              </a:p>
            </c:rich>
          </c:tx>
          <c:layout>
            <c:manualLayout>
              <c:xMode val="edge"/>
              <c:yMode val="edge"/>
              <c:x val="3.2058630538829708E-2"/>
              <c:y val="0.3186804289991856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l-GR"/>
            </a:p>
          </c:txPr>
        </c:title>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17596160"/>
        <c:crosses val="autoZero"/>
        <c:auto val="1"/>
        <c:lblAlgn val="ctr"/>
        <c:lblOffset val="100"/>
        <c:noMultiLvlLbl val="0"/>
      </c:catAx>
      <c:valAx>
        <c:axId val="817596160"/>
        <c:scaling>
          <c:orientation val="minMax"/>
          <c:max val="3000"/>
        </c:scaling>
        <c:delete val="0"/>
        <c:axPos val="b"/>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el-GR" sz="1000" b="0" i="0" u="none" strike="noStrike" kern="1200" baseline="0">
                    <a:solidFill>
                      <a:sysClr val="windowText" lastClr="000000">
                        <a:lumMod val="65000"/>
                        <a:lumOff val="35000"/>
                      </a:sysClr>
                    </a:solidFill>
                    <a:latin typeface="Times New Roman" panose="02020603050405020304" pitchFamily="18" charset="0"/>
                    <a:cs typeface="Times New Roman" panose="02020603050405020304" pitchFamily="18" charset="0"/>
                  </a:rPr>
                  <a:t>Διαφορά τιμής έναντι VLSFO ($/t)</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latin typeface="Times New Roman" panose="02020603050405020304" pitchFamily="18" charset="0"/>
                    <a:cs typeface="Times New Roman" panose="02020603050405020304" pitchFamily="18" charset="0"/>
                  </a:defRPr>
                </a:pPr>
                <a:endParaRPr lang="el-GR">
                  <a:latin typeface="Times New Roman" panose="02020603050405020304" pitchFamily="18" charset="0"/>
                  <a:cs typeface="Times New Roman" panose="02020603050405020304" pitchFamily="18" charset="0"/>
                </a:endParaRPr>
              </a:p>
            </c:rich>
          </c:tx>
          <c:layout>
            <c:manualLayout>
              <c:xMode val="edge"/>
              <c:yMode val="edge"/>
              <c:x val="0.36579120639410695"/>
              <c:y val="0.8543308661732346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1759568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a:latin typeface="Times New Roman" panose="02020603050405020304" pitchFamily="18" charset="0"/>
                <a:cs typeface="Times New Roman" panose="02020603050405020304" pitchFamily="18" charset="0"/>
              </a:rPr>
              <a:t>Περιοχή Fujairah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lotArea>
      <c:layout>
        <c:manualLayout>
          <c:layoutTarget val="inner"/>
          <c:xMode val="edge"/>
          <c:yMode val="edge"/>
          <c:x val="0.32982239720034995"/>
          <c:y val="0.1763888888888889"/>
          <c:w val="0.61984426946631677"/>
          <c:h val="0.59852653834937308"/>
        </c:manualLayout>
      </c:layout>
      <c:barChart>
        <c:barDir val="bar"/>
        <c:grouping val="clustered"/>
        <c:varyColors val="1"/>
        <c:ser>
          <c:idx val="0"/>
          <c:order val="0"/>
          <c:spPr>
            <a:solidFill>
              <a:schemeClr val="accent6">
                <a:lumMod val="75000"/>
              </a:schemeClr>
            </a:solidFill>
          </c:spPr>
          <c:invertIfNegative val="0"/>
          <c:dPt>
            <c:idx val="0"/>
            <c:invertIfNegative val="0"/>
            <c:bubble3D val="0"/>
            <c:spPr>
              <a:solidFill>
                <a:srgbClr val="0070C0"/>
              </a:solidFill>
              <a:ln>
                <a:noFill/>
              </a:ln>
              <a:effectLst/>
            </c:spPr>
            <c:extLst>
              <c:ext xmlns:c16="http://schemas.microsoft.com/office/drawing/2014/chart" uri="{C3380CC4-5D6E-409C-BE32-E72D297353CC}">
                <c16:uniqueId val="{00000001-54D8-4A55-8499-B24103E0A070}"/>
              </c:ext>
            </c:extLst>
          </c:dPt>
          <c:dPt>
            <c:idx val="1"/>
            <c:invertIfNegative val="0"/>
            <c:bubble3D val="0"/>
            <c:spPr>
              <a:solidFill>
                <a:schemeClr val="accent6">
                  <a:lumMod val="75000"/>
                </a:schemeClr>
              </a:solidFill>
              <a:ln>
                <a:noFill/>
              </a:ln>
              <a:effectLst/>
            </c:spPr>
            <c:extLst>
              <c:ext xmlns:c16="http://schemas.microsoft.com/office/drawing/2014/chart" uri="{C3380CC4-5D6E-409C-BE32-E72D297353CC}">
                <c16:uniqueId val="{00000003-54D8-4A55-8499-B24103E0A07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Φύλλο1!$B$29:$B$30</c:f>
              <c:strCache>
                <c:ptCount val="2"/>
                <c:pt idx="0">
                  <c:v>«γκρι» αμμωνία</c:v>
                </c:pt>
                <c:pt idx="1">
                  <c:v>Βιοντίζελ B24</c:v>
                </c:pt>
              </c:strCache>
            </c:strRef>
          </c:cat>
          <c:val>
            <c:numRef>
              <c:f>Φύλλο1!$C$29:$C$30</c:f>
              <c:numCache>
                <c:formatCode>General</c:formatCode>
                <c:ptCount val="2"/>
                <c:pt idx="0">
                  <c:v>737</c:v>
                </c:pt>
                <c:pt idx="1">
                  <c:v>259</c:v>
                </c:pt>
              </c:numCache>
            </c:numRef>
          </c:val>
          <c:extLst>
            <c:ext xmlns:c16="http://schemas.microsoft.com/office/drawing/2014/chart" uri="{C3380CC4-5D6E-409C-BE32-E72D297353CC}">
              <c16:uniqueId val="{00000004-54D8-4A55-8499-B24103E0A070}"/>
            </c:ext>
          </c:extLst>
        </c:ser>
        <c:dLbls>
          <c:dLblPos val="outEnd"/>
          <c:showLegendKey val="0"/>
          <c:showVal val="1"/>
          <c:showCatName val="0"/>
          <c:showSerName val="0"/>
          <c:showPercent val="0"/>
          <c:showBubbleSize val="0"/>
        </c:dLbls>
        <c:gapWidth val="182"/>
        <c:axId val="247166512"/>
        <c:axId val="247167472"/>
      </c:barChart>
      <c:catAx>
        <c:axId val="24716651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latin typeface="Times New Roman" panose="02020603050405020304" pitchFamily="18" charset="0"/>
                    <a:cs typeface="Times New Roman" panose="02020603050405020304" pitchFamily="18" charset="0"/>
                  </a:rPr>
                  <a:t>Εναλλακτικά καύσιμα</a:t>
                </a:r>
              </a:p>
            </c:rich>
          </c:tx>
          <c:layout>
            <c:manualLayout>
              <c:xMode val="edge"/>
              <c:yMode val="edge"/>
              <c:x val="5.8333333333333334E-2"/>
              <c:y val="0.325351049868766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47167472"/>
        <c:crosses val="autoZero"/>
        <c:auto val="1"/>
        <c:lblAlgn val="ctr"/>
        <c:lblOffset val="100"/>
        <c:noMultiLvlLbl val="0"/>
      </c:catAx>
      <c:valAx>
        <c:axId val="247167472"/>
        <c:scaling>
          <c:orientation val="minMax"/>
          <c:max val="300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baseline="0">
                    <a:effectLst/>
                    <a:latin typeface="Times New Roman" panose="02020603050405020304" pitchFamily="18" charset="0"/>
                    <a:cs typeface="Times New Roman" panose="02020603050405020304" pitchFamily="18" charset="0"/>
                  </a:rPr>
                  <a:t>Διαφορά τιμής έναντι VLSFO ($/t)</a:t>
                </a:r>
                <a:endParaRPr lang="en-US" sz="400">
                  <a:effectLst/>
                  <a:latin typeface="Times New Roman" panose="02020603050405020304" pitchFamily="18" charset="0"/>
                  <a:cs typeface="Times New Roman" panose="02020603050405020304" pitchFamily="18" charset="0"/>
                </a:endParaRPr>
              </a:p>
            </c:rich>
          </c:tx>
          <c:layout>
            <c:manualLayout>
              <c:xMode val="edge"/>
              <c:yMode val="edge"/>
              <c:x val="0.38981386701662291"/>
              <c:y val="0.8634259259259259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716651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a:latin typeface="Times New Roman" panose="02020603050405020304" pitchFamily="18" charset="0"/>
                <a:cs typeface="Times New Roman" panose="02020603050405020304" pitchFamily="18" charset="0"/>
              </a:rPr>
              <a:t>Περιοχή Zhoushan</a:t>
            </a:r>
          </a:p>
        </c:rich>
      </c:tx>
      <c:layout>
        <c:manualLayout>
          <c:xMode val="edge"/>
          <c:yMode val="edge"/>
          <c:x val="0.33530136454164844"/>
          <c:y val="6.902899217671422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lotArea>
      <c:layout>
        <c:manualLayout>
          <c:layoutTarget val="inner"/>
          <c:xMode val="edge"/>
          <c:yMode val="edge"/>
          <c:x val="0.24530313239264828"/>
          <c:y val="0.1686393251122939"/>
          <c:w val="0.6618979753834362"/>
          <c:h val="0.57091180037927491"/>
        </c:manualLayout>
      </c:layout>
      <c:barChart>
        <c:barDir val="bar"/>
        <c:grouping val="clustered"/>
        <c:varyColors val="1"/>
        <c:ser>
          <c:idx val="0"/>
          <c:order val="0"/>
          <c:invertIfNegative val="0"/>
          <c:dPt>
            <c:idx val="0"/>
            <c:invertIfNegative val="0"/>
            <c:bubble3D val="0"/>
            <c:spPr>
              <a:solidFill>
                <a:schemeClr val="tx2">
                  <a:lumMod val="25000"/>
                  <a:lumOff val="75000"/>
                </a:schemeClr>
              </a:solidFill>
              <a:ln>
                <a:noFill/>
              </a:ln>
              <a:effectLst/>
            </c:spPr>
            <c:extLst>
              <c:ext xmlns:c16="http://schemas.microsoft.com/office/drawing/2014/chart" uri="{C3380CC4-5D6E-409C-BE32-E72D297353CC}">
                <c16:uniqueId val="{00000001-4053-44BA-971D-A72279111D45}"/>
              </c:ext>
            </c:extLst>
          </c:dPt>
          <c:dPt>
            <c:idx val="1"/>
            <c:invertIfNegative val="0"/>
            <c:bubble3D val="0"/>
            <c:spPr>
              <a:solidFill>
                <a:schemeClr val="accent6">
                  <a:lumMod val="75000"/>
                </a:schemeClr>
              </a:solidFill>
              <a:ln>
                <a:noFill/>
              </a:ln>
              <a:effectLst/>
            </c:spPr>
            <c:extLst>
              <c:ext xmlns:c16="http://schemas.microsoft.com/office/drawing/2014/chart" uri="{C3380CC4-5D6E-409C-BE32-E72D297353CC}">
                <c16:uniqueId val="{00000003-4053-44BA-971D-A72279111D45}"/>
              </c:ext>
            </c:extLst>
          </c:dPt>
          <c:dPt>
            <c:idx val="2"/>
            <c:invertIfNegative val="0"/>
            <c:bubble3D val="0"/>
            <c:spPr>
              <a:solidFill>
                <a:schemeClr val="accent2"/>
              </a:solidFill>
              <a:ln>
                <a:noFill/>
              </a:ln>
              <a:effectLst/>
            </c:spPr>
            <c:extLst>
              <c:ext xmlns:c16="http://schemas.microsoft.com/office/drawing/2014/chart" uri="{C3380CC4-5D6E-409C-BE32-E72D297353CC}">
                <c16:uniqueId val="{00000005-4053-44BA-971D-A72279111D4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Φύλλο1!$B$34:$B$36</c:f>
              <c:strCache>
                <c:ptCount val="3"/>
                <c:pt idx="0">
                  <c:v>LNG</c:v>
                </c:pt>
                <c:pt idx="1">
                  <c:v>Βιοντίζελ (UCOME)</c:v>
                </c:pt>
                <c:pt idx="2">
                  <c:v>βιομεθανόλη</c:v>
                </c:pt>
              </c:strCache>
            </c:strRef>
          </c:cat>
          <c:val>
            <c:numRef>
              <c:f>Φύλλο1!$C$34:$C$36</c:f>
              <c:numCache>
                <c:formatCode>General</c:formatCode>
                <c:ptCount val="3"/>
                <c:pt idx="0">
                  <c:v>27</c:v>
                </c:pt>
                <c:pt idx="1">
                  <c:v>993</c:v>
                </c:pt>
                <c:pt idx="2" formatCode="#,##0">
                  <c:v>1140</c:v>
                </c:pt>
              </c:numCache>
            </c:numRef>
          </c:val>
          <c:extLst>
            <c:ext xmlns:c16="http://schemas.microsoft.com/office/drawing/2014/chart" uri="{C3380CC4-5D6E-409C-BE32-E72D297353CC}">
              <c16:uniqueId val="{00000006-4053-44BA-971D-A72279111D45}"/>
            </c:ext>
          </c:extLst>
        </c:ser>
        <c:dLbls>
          <c:dLblPos val="outEnd"/>
          <c:showLegendKey val="0"/>
          <c:showVal val="1"/>
          <c:showCatName val="0"/>
          <c:showSerName val="0"/>
          <c:showPercent val="0"/>
          <c:showBubbleSize val="0"/>
        </c:dLbls>
        <c:gapWidth val="182"/>
        <c:axId val="817559680"/>
        <c:axId val="817560160"/>
      </c:barChart>
      <c:catAx>
        <c:axId val="81755968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l-GR">
                    <a:latin typeface="Times New Roman" panose="02020603050405020304" pitchFamily="18" charset="0"/>
                    <a:cs typeface="Times New Roman" panose="02020603050405020304" pitchFamily="18" charset="0"/>
                  </a:rPr>
                  <a:t>Εναλλακτικά καύσιμα</a:t>
                </a:r>
              </a:p>
            </c:rich>
          </c:tx>
          <c:layout>
            <c:manualLayout>
              <c:xMode val="edge"/>
              <c:yMode val="edge"/>
              <c:x val="1.8539976825028968E-2"/>
              <c:y val="0.3232892713384146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17560160"/>
        <c:crosses val="autoZero"/>
        <c:auto val="1"/>
        <c:lblAlgn val="ctr"/>
        <c:lblOffset val="100"/>
        <c:noMultiLvlLbl val="0"/>
      </c:catAx>
      <c:valAx>
        <c:axId val="817560160"/>
        <c:scaling>
          <c:orientation val="minMax"/>
          <c:max val="3000"/>
        </c:scaling>
        <c:delete val="0"/>
        <c:axPos val="b"/>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l-GR" sz="1000" b="0" i="0" baseline="0">
                    <a:effectLst/>
                    <a:latin typeface="Times New Roman" panose="02020603050405020304" pitchFamily="18" charset="0"/>
                    <a:cs typeface="Times New Roman" panose="02020603050405020304" pitchFamily="18" charset="0"/>
                  </a:rPr>
                  <a:t>Διαφορά τιμής έναντι VLSFO ($/t)</a:t>
                </a:r>
                <a:endParaRPr lang="en-US" sz="1000">
                  <a:effectLst/>
                  <a:latin typeface="Times New Roman" panose="02020603050405020304" pitchFamily="18" charset="0"/>
                  <a:cs typeface="Times New Roman" panose="02020603050405020304" pitchFamily="18" charset="0"/>
                </a:endParaRP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l-GR"/>
              </a:p>
            </c:rich>
          </c:tx>
          <c:layout>
            <c:manualLayout>
              <c:xMode val="edge"/>
              <c:yMode val="edge"/>
              <c:x val="0.32938802995895555"/>
              <c:y val="0.85307486064626237"/>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1755968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a:latin typeface="Times New Roman" panose="02020603050405020304" pitchFamily="18" charset="0"/>
                <a:cs typeface="Times New Roman" panose="02020603050405020304" pitchFamily="18" charset="0"/>
              </a:rPr>
              <a:t>Περιοχή Λος Άντζελες</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lotArea>
      <c:layout>
        <c:manualLayout>
          <c:layoutTarget val="inner"/>
          <c:xMode val="edge"/>
          <c:yMode val="edge"/>
          <c:x val="0.21064630262284501"/>
          <c:y val="0.13009212020869029"/>
          <c:w val="0.70765437408559229"/>
          <c:h val="0.65404079619101219"/>
        </c:manualLayout>
      </c:layout>
      <c:barChart>
        <c:barDir val="bar"/>
        <c:grouping val="clustered"/>
        <c:varyColors val="1"/>
        <c:ser>
          <c:idx val="0"/>
          <c:order val="0"/>
          <c:invertIfNegative val="0"/>
          <c:dPt>
            <c:idx val="0"/>
            <c:invertIfNegative val="0"/>
            <c:bubble3D val="0"/>
            <c:spPr>
              <a:solidFill>
                <a:schemeClr val="accent6">
                  <a:lumMod val="75000"/>
                </a:schemeClr>
              </a:solidFill>
              <a:ln>
                <a:noFill/>
              </a:ln>
              <a:effectLst/>
            </c:spPr>
            <c:extLst>
              <c:ext xmlns:c16="http://schemas.microsoft.com/office/drawing/2014/chart" uri="{C3380CC4-5D6E-409C-BE32-E72D297353CC}">
                <c16:uniqueId val="{00000001-2053-4532-8BCD-8AFFFE9B1D11}"/>
              </c:ext>
            </c:extLst>
          </c:dPt>
          <c:dPt>
            <c:idx val="1"/>
            <c:invertIfNegative val="0"/>
            <c:bubble3D val="0"/>
            <c:spPr>
              <a:solidFill>
                <a:schemeClr val="accent6">
                  <a:lumMod val="75000"/>
                </a:schemeClr>
              </a:solidFill>
              <a:ln>
                <a:noFill/>
              </a:ln>
              <a:effectLst/>
            </c:spPr>
            <c:extLst>
              <c:ext xmlns:c16="http://schemas.microsoft.com/office/drawing/2014/chart" uri="{C3380CC4-5D6E-409C-BE32-E72D297353CC}">
                <c16:uniqueId val="{00000003-2053-4532-8BCD-8AFFFE9B1D11}"/>
              </c:ext>
            </c:extLst>
          </c:dPt>
          <c:dPt>
            <c:idx val="2"/>
            <c:invertIfNegative val="0"/>
            <c:bubble3D val="0"/>
            <c:spPr>
              <a:solidFill>
                <a:srgbClr val="002060"/>
              </a:solidFill>
              <a:ln>
                <a:noFill/>
              </a:ln>
              <a:effectLst/>
            </c:spPr>
            <c:extLst>
              <c:ext xmlns:c16="http://schemas.microsoft.com/office/drawing/2014/chart" uri="{C3380CC4-5D6E-409C-BE32-E72D297353CC}">
                <c16:uniqueId val="{00000005-2053-4532-8BCD-8AFFFE9B1D1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Φύλλο1!$B$40:$B$42</c:f>
              <c:strCache>
                <c:ptCount val="3"/>
                <c:pt idx="0">
                  <c:v>Ανανεώσιμο ντίζελ</c:v>
                </c:pt>
                <c:pt idx="1">
                  <c:v>Βιοντίζελ B30</c:v>
                </c:pt>
                <c:pt idx="2">
                  <c:v>Υδρογόνο</c:v>
                </c:pt>
              </c:strCache>
            </c:strRef>
          </c:cat>
          <c:val>
            <c:numRef>
              <c:f>Φύλλο1!$C$40:$C$42</c:f>
              <c:numCache>
                <c:formatCode>General</c:formatCode>
                <c:ptCount val="3"/>
                <c:pt idx="0">
                  <c:v>467</c:v>
                </c:pt>
                <c:pt idx="1">
                  <c:v>383</c:v>
                </c:pt>
                <c:pt idx="2" formatCode="#,##0">
                  <c:v>2470</c:v>
                </c:pt>
              </c:numCache>
            </c:numRef>
          </c:val>
          <c:extLst>
            <c:ext xmlns:c16="http://schemas.microsoft.com/office/drawing/2014/chart" uri="{C3380CC4-5D6E-409C-BE32-E72D297353CC}">
              <c16:uniqueId val="{00000006-2053-4532-8BCD-8AFFFE9B1D11}"/>
            </c:ext>
          </c:extLst>
        </c:ser>
        <c:dLbls>
          <c:dLblPos val="outEnd"/>
          <c:showLegendKey val="0"/>
          <c:showVal val="1"/>
          <c:showCatName val="0"/>
          <c:showSerName val="0"/>
          <c:showPercent val="0"/>
          <c:showBubbleSize val="0"/>
        </c:dLbls>
        <c:gapWidth val="182"/>
        <c:axId val="616988640"/>
        <c:axId val="563298784"/>
      </c:barChart>
      <c:catAx>
        <c:axId val="61698864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Εναλλακτικά καύσιμα</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63298784"/>
        <c:crosses val="autoZero"/>
        <c:auto val="1"/>
        <c:lblAlgn val="ctr"/>
        <c:lblOffset val="100"/>
        <c:noMultiLvlLbl val="0"/>
      </c:catAx>
      <c:valAx>
        <c:axId val="5632987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baseline="0">
                    <a:effectLst/>
                    <a:latin typeface="Times New Roman" panose="02020603050405020304" pitchFamily="18" charset="0"/>
                    <a:cs typeface="Times New Roman" panose="02020603050405020304" pitchFamily="18" charset="0"/>
                  </a:rPr>
                  <a:t>Διαφορά τιμής έναντι VLSFO ($/t)</a:t>
                </a:r>
                <a:endParaRPr lang="en-US" sz="400" b="0">
                  <a:effectLst/>
                  <a:latin typeface="Times New Roman" panose="02020603050405020304" pitchFamily="18" charset="0"/>
                  <a:cs typeface="Times New Roman" panose="02020603050405020304" pitchFamily="18" charset="0"/>
                </a:endParaRPr>
              </a:p>
            </c:rich>
          </c:tx>
          <c:layout>
            <c:manualLayout>
              <c:xMode val="edge"/>
              <c:yMode val="edge"/>
              <c:x val="0.40036888771256535"/>
              <c:y val="0.9043869516310459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1698864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l-GR">
                <a:latin typeface="Times New Roman" panose="02020603050405020304" pitchFamily="18" charset="0"/>
                <a:cs typeface="Times New Roman" panose="02020603050405020304" pitchFamily="18" charset="0"/>
              </a:rPr>
              <a:t>Περιοχή Γιβραλτάρ</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l-GR"/>
        </a:p>
      </c:txPr>
    </c:title>
    <c:autoTitleDeleted val="0"/>
    <c:plotArea>
      <c:layout>
        <c:manualLayout>
          <c:layoutTarget val="inner"/>
          <c:xMode val="edge"/>
          <c:yMode val="edge"/>
          <c:x val="0.34215347410187008"/>
          <c:y val="0.14335472043996336"/>
          <c:w val="0.62122543214812997"/>
          <c:h val="0.65201960204103726"/>
        </c:manualLayout>
      </c:layout>
      <c:barChart>
        <c:barDir val="bar"/>
        <c:grouping val="clustered"/>
        <c:varyColors val="1"/>
        <c:ser>
          <c:idx val="0"/>
          <c:order val="0"/>
          <c:invertIfNegative val="0"/>
          <c:dPt>
            <c:idx val="0"/>
            <c:invertIfNegative val="0"/>
            <c:bubble3D val="0"/>
            <c:spPr>
              <a:solidFill>
                <a:schemeClr val="accent6">
                  <a:lumMod val="75000"/>
                </a:schemeClr>
              </a:solidFill>
              <a:ln>
                <a:noFill/>
              </a:ln>
              <a:effectLst/>
            </c:spPr>
            <c:extLst>
              <c:ext xmlns:c16="http://schemas.microsoft.com/office/drawing/2014/chart" uri="{C3380CC4-5D6E-409C-BE32-E72D297353CC}">
                <c16:uniqueId val="{00000001-9A40-4606-9D0E-17E787DED904}"/>
              </c:ext>
            </c:extLst>
          </c:dPt>
          <c:dPt>
            <c:idx val="1"/>
            <c:invertIfNegative val="0"/>
            <c:bubble3D val="0"/>
            <c:spPr>
              <a:solidFill>
                <a:schemeClr val="tx2">
                  <a:lumMod val="25000"/>
                  <a:lumOff val="75000"/>
                </a:schemeClr>
              </a:solidFill>
              <a:ln>
                <a:noFill/>
              </a:ln>
              <a:effectLst/>
            </c:spPr>
            <c:extLst>
              <c:ext xmlns:c16="http://schemas.microsoft.com/office/drawing/2014/chart" uri="{C3380CC4-5D6E-409C-BE32-E72D297353CC}">
                <c16:uniqueId val="{00000003-9A40-4606-9D0E-17E787DED90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Φύλλο1!$B$47:$B$48</c:f>
              <c:strCache>
                <c:ptCount val="2"/>
                <c:pt idx="0">
                  <c:v>Βιοντίζελ B24 (UCOME)</c:v>
                </c:pt>
                <c:pt idx="1">
                  <c:v>Bio-LNG</c:v>
                </c:pt>
              </c:strCache>
            </c:strRef>
          </c:cat>
          <c:val>
            <c:numRef>
              <c:f>Φύλλο1!$C$47:$C$48</c:f>
              <c:numCache>
                <c:formatCode>General</c:formatCode>
                <c:ptCount val="2"/>
                <c:pt idx="0">
                  <c:v>334</c:v>
                </c:pt>
                <c:pt idx="1">
                  <c:v>833</c:v>
                </c:pt>
              </c:numCache>
            </c:numRef>
          </c:val>
          <c:extLst>
            <c:ext xmlns:c16="http://schemas.microsoft.com/office/drawing/2014/chart" uri="{C3380CC4-5D6E-409C-BE32-E72D297353CC}">
              <c16:uniqueId val="{00000004-9A40-4606-9D0E-17E787DED904}"/>
            </c:ext>
          </c:extLst>
        </c:ser>
        <c:dLbls>
          <c:dLblPos val="outEnd"/>
          <c:showLegendKey val="0"/>
          <c:showVal val="1"/>
          <c:showCatName val="0"/>
          <c:showSerName val="0"/>
          <c:showPercent val="0"/>
          <c:showBubbleSize val="0"/>
        </c:dLbls>
        <c:gapWidth val="182"/>
        <c:axId val="610348928"/>
        <c:axId val="610345088"/>
      </c:barChart>
      <c:catAx>
        <c:axId val="61034892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l-GR">
                    <a:latin typeface="Times New Roman" panose="02020603050405020304" pitchFamily="18" charset="0"/>
                    <a:cs typeface="Times New Roman" panose="02020603050405020304" pitchFamily="18" charset="0"/>
                  </a:rPr>
                  <a:t>Εναλλακτικά καύσιμα</a:t>
                </a:r>
              </a:p>
            </c:rich>
          </c:tx>
          <c:layout>
            <c:manualLayout>
              <c:xMode val="edge"/>
              <c:yMode val="edge"/>
              <c:x val="3.662109375E-2"/>
              <c:y val="0.3393370237519576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l-GR"/>
            </a:p>
          </c:txPr>
        </c:title>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10345088"/>
        <c:crosses val="autoZero"/>
        <c:auto val="1"/>
        <c:lblAlgn val="ctr"/>
        <c:lblOffset val="100"/>
        <c:noMultiLvlLbl val="0"/>
      </c:catAx>
      <c:valAx>
        <c:axId val="610345088"/>
        <c:scaling>
          <c:orientation val="minMax"/>
          <c:max val="3000"/>
        </c:scaling>
        <c:delete val="0"/>
        <c:axPos val="b"/>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el-GR" sz="1000" b="0" i="0" baseline="0">
                    <a:effectLst/>
                    <a:latin typeface="Times New Roman" panose="02020603050405020304" pitchFamily="18" charset="0"/>
                    <a:cs typeface="Times New Roman" panose="02020603050405020304" pitchFamily="18" charset="0"/>
                  </a:rPr>
                  <a:t>Διαφορά τιμής έναντι VLSFO ($/t)</a:t>
                </a:r>
                <a:endParaRPr lang="en-US" sz="1000">
                  <a:effectLst/>
                  <a:latin typeface="Times New Roman" panose="02020603050405020304" pitchFamily="18" charset="0"/>
                  <a:cs typeface="Times New Roman" panose="02020603050405020304" pitchFamily="18" charset="0"/>
                </a:endParaRP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latin typeface="Times New Roman" panose="02020603050405020304" pitchFamily="18" charset="0"/>
                    <a:cs typeface="Times New Roman" panose="02020603050405020304" pitchFamily="18" charset="0"/>
                  </a:defRPr>
                </a:pPr>
                <a:endParaRPr lang="el-GR">
                  <a:latin typeface="Times New Roman" panose="02020603050405020304" pitchFamily="18" charset="0"/>
                  <a:cs typeface="Times New Roman" panose="02020603050405020304" pitchFamily="18" charset="0"/>
                </a:endParaRPr>
              </a:p>
            </c:rich>
          </c:tx>
          <c:layout>
            <c:manualLayout>
              <c:xMode val="edge"/>
              <c:yMode val="edge"/>
              <c:x val="0.36229989097516652"/>
              <c:y val="0.8891661072511907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103489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l-GR">
                <a:latin typeface="Times New Roman" panose="02020603050405020304" pitchFamily="18" charset="0"/>
                <a:cs typeface="Times New Roman" panose="02020603050405020304" pitchFamily="18" charset="0"/>
              </a:rPr>
              <a:t>Περιοχή Νότιας Βραζιλίας</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l-GR"/>
        </a:p>
      </c:txPr>
    </c:title>
    <c:autoTitleDeleted val="0"/>
    <c:plotArea>
      <c:layout/>
      <c:barChart>
        <c:barDir val="bar"/>
        <c:grouping val="clustered"/>
        <c:varyColors val="0"/>
        <c:ser>
          <c:idx val="0"/>
          <c:order val="0"/>
          <c:spPr>
            <a:solidFill>
              <a:schemeClr val="accent6">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Φύλλο1!$B$52:$B$54</c:f>
              <c:strCache>
                <c:ptCount val="3"/>
                <c:pt idx="0">
                  <c:v>Βιοντίζελ B24 FAME</c:v>
                </c:pt>
                <c:pt idx="1">
                  <c:v>Βιοντίζελ B24 UCOME</c:v>
                </c:pt>
                <c:pt idx="2">
                  <c:v>Βιοντίζελ B24 Soya OME</c:v>
                </c:pt>
              </c:strCache>
            </c:strRef>
          </c:cat>
          <c:val>
            <c:numRef>
              <c:f>Φύλλο1!$C$52:$C$54</c:f>
              <c:numCache>
                <c:formatCode>General</c:formatCode>
                <c:ptCount val="3"/>
                <c:pt idx="0">
                  <c:v>195</c:v>
                </c:pt>
                <c:pt idx="1">
                  <c:v>243</c:v>
                </c:pt>
                <c:pt idx="2">
                  <c:v>222</c:v>
                </c:pt>
              </c:numCache>
            </c:numRef>
          </c:val>
          <c:extLst>
            <c:ext xmlns:c16="http://schemas.microsoft.com/office/drawing/2014/chart" uri="{C3380CC4-5D6E-409C-BE32-E72D297353CC}">
              <c16:uniqueId val="{00000000-D968-425B-96EA-B3DDBB2830BB}"/>
            </c:ext>
          </c:extLst>
        </c:ser>
        <c:dLbls>
          <c:dLblPos val="outEnd"/>
          <c:showLegendKey val="0"/>
          <c:showVal val="1"/>
          <c:showCatName val="0"/>
          <c:showSerName val="0"/>
          <c:showPercent val="0"/>
          <c:showBubbleSize val="0"/>
        </c:dLbls>
        <c:gapWidth val="182"/>
        <c:axId val="1166518192"/>
        <c:axId val="1112680032"/>
      </c:barChart>
      <c:catAx>
        <c:axId val="116651819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l-GR">
                    <a:latin typeface="Times New Roman" panose="02020603050405020304" pitchFamily="18" charset="0"/>
                    <a:cs typeface="Times New Roman" panose="02020603050405020304" pitchFamily="18" charset="0"/>
                  </a:rPr>
                  <a:t>Εναλλακτικά καύσιμα</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l-GR"/>
            </a:p>
          </c:txPr>
        </c:title>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12680032"/>
        <c:crosses val="autoZero"/>
        <c:auto val="1"/>
        <c:lblAlgn val="ctr"/>
        <c:lblOffset val="100"/>
        <c:noMultiLvlLbl val="0"/>
      </c:catAx>
      <c:valAx>
        <c:axId val="11126800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u="none" strike="noStrike" kern="1200" baseline="0">
                    <a:solidFill>
                      <a:sysClr val="windowText" lastClr="000000">
                        <a:lumMod val="65000"/>
                        <a:lumOff val="35000"/>
                      </a:sysClr>
                    </a:solidFill>
                    <a:effectLst/>
                    <a:latin typeface="Times New Roman" panose="02020603050405020304" pitchFamily="18" charset="0"/>
                    <a:cs typeface="Times New Roman" panose="02020603050405020304" pitchFamily="18" charset="0"/>
                  </a:rPr>
                  <a:t>Διαφορά τιμής έναντι VLSFO ($/t)</a:t>
                </a:r>
              </a:p>
            </c:rich>
          </c:tx>
          <c:layout>
            <c:manualLayout>
              <c:xMode val="edge"/>
              <c:yMode val="edge"/>
              <c:x val="0.37407516768737248"/>
              <c:y val="0.8690807799442895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6651819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CA61E-C4FB-4EB5-B9C5-0155E2155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128</Pages>
  <Words>55861</Words>
  <Characters>318410</Characters>
  <Application>Microsoft Office Word</Application>
  <DocSecurity>0</DocSecurity>
  <Lines>2653</Lines>
  <Paragraphs>747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373524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Οδυσσεας Σπανακης</dc:creator>
  <cp:keywords/>
  <dc:description/>
  <cp:lastModifiedBy>Οδυσσεας Σπανακης</cp:lastModifiedBy>
  <cp:revision>25</cp:revision>
  <cp:lastPrinted>2026-10-16T18:01:00Z</cp:lastPrinted>
  <dcterms:created xsi:type="dcterms:W3CDTF">2026-10-18T16:26:00Z</dcterms:created>
  <dcterms:modified xsi:type="dcterms:W3CDTF">2026-10-19T23:26:00Z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id="3o9cI4QS"/&gt;&lt;style id="http://www.zotero.org/styles/ieee"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